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8F3F" w14:textId="77777777" w:rsidR="00066438" w:rsidRPr="00D91F5A" w:rsidRDefault="00066438" w:rsidP="00066438">
      <w:pPr>
        <w:autoSpaceDE w:val="0"/>
        <w:autoSpaceDN w:val="0"/>
        <w:adjustRightInd w:val="0"/>
        <w:spacing w:after="120" w:line="240" w:lineRule="auto"/>
        <w:jc w:val="both"/>
        <w:rPr>
          <w:rFonts w:ascii="Calibri" w:eastAsia="Calibri" w:hAnsi="Calibri" w:cs="Times New Roman"/>
          <w:i/>
          <w:iCs/>
          <w:sz w:val="28"/>
          <w:szCs w:val="28"/>
        </w:rPr>
      </w:pPr>
      <w:r w:rsidRPr="00D91F5A">
        <w:rPr>
          <w:rFonts w:ascii="Calibri" w:eastAsia="Calibri" w:hAnsi="Calibri" w:cs="Times New Roman"/>
          <w:i/>
          <w:iCs/>
          <w:sz w:val="28"/>
          <w:szCs w:val="28"/>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p w14:paraId="13163BC8" w14:textId="791DDE79" w:rsidR="00066438" w:rsidRPr="00D91F5A" w:rsidRDefault="00C46C11" w:rsidP="00066438">
      <w:pPr>
        <w:autoSpaceDE w:val="0"/>
        <w:autoSpaceDN w:val="0"/>
        <w:adjustRightInd w:val="0"/>
        <w:spacing w:after="120" w:line="240" w:lineRule="auto"/>
        <w:jc w:val="right"/>
        <w:rPr>
          <w:rFonts w:ascii="Calibri" w:eastAsia="Calibri" w:hAnsi="Calibri" w:cs="Times New Roman"/>
          <w:iCs/>
          <w:sz w:val="28"/>
          <w:szCs w:val="28"/>
        </w:rPr>
      </w:pPr>
      <w:r>
        <w:rPr>
          <w:rFonts w:ascii="Calibri" w:eastAsia="Calibri" w:hAnsi="Calibri" w:cs="Times New Roman"/>
          <w:iCs/>
          <w:sz w:val="28"/>
          <w:szCs w:val="28"/>
        </w:rPr>
        <w:t>16</w:t>
      </w:r>
      <w:r w:rsidR="00066438" w:rsidRPr="00D91F5A">
        <w:rPr>
          <w:rFonts w:ascii="Calibri" w:eastAsia="Calibri" w:hAnsi="Calibri" w:cs="Times New Roman"/>
          <w:iCs/>
          <w:sz w:val="28"/>
          <w:szCs w:val="28"/>
        </w:rPr>
        <w:t xml:space="preserve"> </w:t>
      </w:r>
      <w:r w:rsidR="00CD24D2">
        <w:rPr>
          <w:rFonts w:ascii="Calibri" w:eastAsia="Calibri" w:hAnsi="Calibri" w:cs="Times New Roman"/>
          <w:iCs/>
          <w:sz w:val="28"/>
          <w:szCs w:val="28"/>
        </w:rPr>
        <w:t>June</w:t>
      </w:r>
      <w:r w:rsidR="00066438" w:rsidRPr="00D91F5A">
        <w:rPr>
          <w:rFonts w:ascii="Calibri" w:eastAsia="Calibri" w:hAnsi="Calibri" w:cs="Times New Roman"/>
          <w:iCs/>
          <w:sz w:val="28"/>
          <w:szCs w:val="28"/>
        </w:rPr>
        <w:t xml:space="preserve"> 202</w:t>
      </w:r>
      <w:r>
        <w:rPr>
          <w:rFonts w:ascii="Calibri" w:eastAsia="Calibri" w:hAnsi="Calibri" w:cs="Times New Roman"/>
          <w:iCs/>
          <w:sz w:val="28"/>
          <w:szCs w:val="28"/>
        </w:rPr>
        <w:t>3</w:t>
      </w:r>
    </w:p>
    <w:p w14:paraId="57001D9B" w14:textId="77777777" w:rsidR="00066438" w:rsidRPr="00D91F5A" w:rsidRDefault="00066438" w:rsidP="00066438">
      <w:pPr>
        <w:spacing w:after="120" w:line="240" w:lineRule="auto"/>
        <w:jc w:val="center"/>
        <w:rPr>
          <w:rFonts w:ascii="Times New Roman" w:eastAsia="Calibri" w:hAnsi="Times New Roman" w:cs="Times New Roman"/>
          <w:b/>
          <w:sz w:val="28"/>
          <w:szCs w:val="28"/>
        </w:rPr>
      </w:pPr>
    </w:p>
    <w:p w14:paraId="3A7C94C2" w14:textId="77777777" w:rsidR="00066438" w:rsidRPr="00D91F5A" w:rsidRDefault="00066438" w:rsidP="00066438">
      <w:pPr>
        <w:spacing w:after="120" w:line="240" w:lineRule="auto"/>
        <w:jc w:val="center"/>
        <w:rPr>
          <w:rFonts w:ascii="Times New Roman" w:eastAsia="Calibri" w:hAnsi="Times New Roman" w:cs="Times New Roman"/>
          <w:b/>
          <w:sz w:val="28"/>
          <w:szCs w:val="28"/>
        </w:rPr>
      </w:pPr>
      <w:r w:rsidRPr="00D91F5A">
        <w:rPr>
          <w:rFonts w:ascii="Times New Roman" w:eastAsia="Calibri" w:hAnsi="Times New Roman" w:cs="Times New Roman"/>
          <w:b/>
          <w:sz w:val="28"/>
          <w:szCs w:val="28"/>
        </w:rPr>
        <w:t>WORKING DOCUMENT</w:t>
      </w:r>
    </w:p>
    <w:p w14:paraId="58639AF6" w14:textId="193A9237" w:rsidR="00066438" w:rsidRPr="00D91F5A" w:rsidRDefault="00486BD7" w:rsidP="00066438">
      <w:pPr>
        <w:autoSpaceDE w:val="0"/>
        <w:autoSpaceDN w:val="0"/>
        <w:adjustRightInd w:val="0"/>
        <w:spacing w:after="120" w:line="240" w:lineRule="auto"/>
        <w:jc w:val="both"/>
        <w:rPr>
          <w:rFonts w:ascii="Times New Roman" w:eastAsia="Calibri" w:hAnsi="Times New Roman" w:cs="Times New Roman"/>
          <w:b/>
          <w:sz w:val="28"/>
          <w:szCs w:val="28"/>
        </w:rPr>
      </w:pPr>
      <w:r w:rsidRPr="00486BD7">
        <w:rPr>
          <w:rFonts w:ascii="Times New Roman" w:eastAsia="Calibri" w:hAnsi="Times New Roman" w:cs="Times New Roman"/>
          <w:b/>
          <w:sz w:val="28"/>
          <w:szCs w:val="28"/>
        </w:rPr>
        <w:t>Follow-up to EFSA’s updated scientific opinion on the safety of the permitted food additives sulfur dioxide-sulfites (E 220-228)</w:t>
      </w:r>
    </w:p>
    <w:p w14:paraId="003CA9F6" w14:textId="77777777" w:rsidR="00066438" w:rsidRPr="00D91F5A" w:rsidRDefault="00066438" w:rsidP="00066438">
      <w:pPr>
        <w:suppressAutoHyphens/>
        <w:spacing w:after="120" w:line="240" w:lineRule="auto"/>
        <w:jc w:val="both"/>
        <w:rPr>
          <w:rFonts w:ascii="Times New Roman" w:eastAsia="Times New Roman" w:hAnsi="Times New Roman" w:cs="Times New Roman"/>
          <w:b/>
          <w:sz w:val="28"/>
          <w:szCs w:val="28"/>
          <w:lang w:eastAsia="ar-SA"/>
        </w:rPr>
      </w:pPr>
    </w:p>
    <w:p w14:paraId="6A2D40A9" w14:textId="77777777" w:rsidR="00486BD7" w:rsidRPr="00771B27" w:rsidRDefault="00486BD7" w:rsidP="00486BD7">
      <w:pPr>
        <w:spacing w:after="120" w:line="240" w:lineRule="auto"/>
        <w:jc w:val="both"/>
        <w:rPr>
          <w:rFonts w:ascii="Times New Roman" w:eastAsia="Times New Roman" w:hAnsi="Times New Roman" w:cs="Times New Roman"/>
          <w:b/>
          <w:sz w:val="24"/>
          <w:szCs w:val="20"/>
          <w:u w:val="single"/>
        </w:rPr>
      </w:pPr>
      <w:r w:rsidRPr="00771B27">
        <w:rPr>
          <w:rFonts w:ascii="Times New Roman" w:eastAsia="Times New Roman" w:hAnsi="Times New Roman" w:cs="Times New Roman"/>
          <w:b/>
          <w:sz w:val="24"/>
          <w:szCs w:val="20"/>
          <w:u w:val="single"/>
        </w:rPr>
        <w:t>Background</w:t>
      </w:r>
    </w:p>
    <w:p w14:paraId="6516964B" w14:textId="77777777" w:rsidR="00486BD7" w:rsidRDefault="00486BD7" w:rsidP="00486BD7">
      <w:pPr>
        <w:autoSpaceDE w:val="0"/>
        <w:autoSpaceDN w:val="0"/>
        <w:adjustRightInd w:val="0"/>
        <w:spacing w:after="120" w:line="240" w:lineRule="auto"/>
        <w:jc w:val="both"/>
        <w:rPr>
          <w:rFonts w:ascii="Times New Roman" w:eastAsia="Calibri" w:hAnsi="Times New Roman" w:cs="Times New Roman"/>
          <w:color w:val="000000"/>
          <w:sz w:val="24"/>
          <w:szCs w:val="24"/>
          <w:lang w:eastAsia="en-GB"/>
        </w:rPr>
      </w:pPr>
      <w:r w:rsidRPr="00464A96">
        <w:rPr>
          <w:rFonts w:ascii="Times New Roman" w:eastAsia="Calibri" w:hAnsi="Times New Roman" w:cs="Times New Roman"/>
          <w:color w:val="000000"/>
          <w:sz w:val="24"/>
          <w:szCs w:val="24"/>
          <w:lang w:eastAsia="en-GB"/>
        </w:rPr>
        <w:t>Sulfur dioxide–sulfites (E 220–228) were re-evaluated in 2016</w:t>
      </w:r>
      <w:r>
        <w:rPr>
          <w:rStyle w:val="FootnoteReference"/>
          <w:rFonts w:ascii="Times New Roman" w:eastAsia="Calibri" w:hAnsi="Times New Roman" w:cs="Times New Roman"/>
          <w:color w:val="000000"/>
          <w:sz w:val="24"/>
          <w:szCs w:val="24"/>
          <w:lang w:eastAsia="en-GB"/>
        </w:rPr>
        <w:footnoteReference w:id="1"/>
      </w:r>
      <w:r w:rsidRPr="00464A96">
        <w:rPr>
          <w:rFonts w:ascii="Times New Roman" w:eastAsia="Calibri" w:hAnsi="Times New Roman" w:cs="Times New Roman"/>
          <w:color w:val="000000"/>
          <w:sz w:val="24"/>
          <w:szCs w:val="24"/>
          <w:lang w:eastAsia="en-GB"/>
        </w:rPr>
        <w:t>, resulting in the setting of a temporary</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ADI of 0.7 mg SO</w:t>
      </w:r>
      <w:r w:rsidRPr="00464A96">
        <w:rPr>
          <w:rFonts w:ascii="Times New Roman" w:eastAsia="Calibri" w:hAnsi="Times New Roman" w:cs="Times New Roman"/>
          <w:color w:val="000000"/>
          <w:sz w:val="24"/>
          <w:szCs w:val="24"/>
          <w:vertAlign w:val="subscript"/>
          <w:lang w:eastAsia="en-GB"/>
        </w:rPr>
        <w:t>2</w:t>
      </w:r>
      <w:r w:rsidRPr="00464A96">
        <w:rPr>
          <w:rFonts w:ascii="Times New Roman" w:eastAsia="Calibri" w:hAnsi="Times New Roman" w:cs="Times New Roman"/>
          <w:color w:val="000000"/>
          <w:sz w:val="24"/>
          <w:szCs w:val="24"/>
          <w:lang w:eastAsia="en-GB"/>
        </w:rPr>
        <w:t xml:space="preserve"> equivalents/kg </w:t>
      </w:r>
      <w:proofErr w:type="spellStart"/>
      <w:r w:rsidRPr="00464A96">
        <w:rPr>
          <w:rFonts w:ascii="Times New Roman" w:eastAsia="Calibri" w:hAnsi="Times New Roman" w:cs="Times New Roman"/>
          <w:color w:val="000000"/>
          <w:sz w:val="24"/>
          <w:szCs w:val="24"/>
          <w:lang w:eastAsia="en-GB"/>
        </w:rPr>
        <w:t>bw</w:t>
      </w:r>
      <w:proofErr w:type="spellEnd"/>
      <w:r w:rsidRPr="00464A96">
        <w:rPr>
          <w:rFonts w:ascii="Times New Roman" w:eastAsia="Calibri" w:hAnsi="Times New Roman" w:cs="Times New Roman"/>
          <w:color w:val="000000"/>
          <w:sz w:val="24"/>
          <w:szCs w:val="24"/>
          <w:lang w:eastAsia="en-GB"/>
        </w:rPr>
        <w:t xml:space="preserve"> per day.</w:t>
      </w:r>
      <w:r>
        <w:rPr>
          <w:rFonts w:ascii="Times New Roman" w:eastAsia="Calibri" w:hAnsi="Times New Roman" w:cs="Times New Roman"/>
          <w:color w:val="000000"/>
          <w:sz w:val="24"/>
          <w:szCs w:val="24"/>
          <w:lang w:eastAsia="en-GB"/>
        </w:rPr>
        <w:t xml:space="preserve"> In its opinion, EFSA listed several recommendations. </w:t>
      </w:r>
      <w:r w:rsidRPr="00771B27">
        <w:rPr>
          <w:rFonts w:ascii="Times New Roman" w:eastAsia="Calibri" w:hAnsi="Times New Roman" w:cs="Times New Roman"/>
          <w:color w:val="000000"/>
          <w:sz w:val="24"/>
          <w:szCs w:val="24"/>
          <w:lang w:eastAsia="en-GB"/>
        </w:rPr>
        <w:t>In line with the approach</w:t>
      </w:r>
      <w:r>
        <w:rPr>
          <w:rStyle w:val="FootnoteReference"/>
          <w:rFonts w:ascii="Times New Roman" w:eastAsia="Calibri" w:hAnsi="Times New Roman" w:cs="Times New Roman"/>
          <w:color w:val="000000"/>
          <w:sz w:val="24"/>
          <w:szCs w:val="24"/>
          <w:lang w:eastAsia="en-GB"/>
        </w:rPr>
        <w:footnoteReference w:id="2"/>
      </w:r>
      <w:r w:rsidRPr="00771B27">
        <w:rPr>
          <w:rFonts w:ascii="Times New Roman" w:eastAsia="Calibri" w:hAnsi="Times New Roman" w:cs="Times New Roman"/>
          <w:color w:val="000000"/>
          <w:sz w:val="24"/>
          <w:szCs w:val="24"/>
          <w:lang w:eastAsia="en-GB"/>
        </w:rPr>
        <w:t xml:space="preserve"> agreed for the follow-up of such inconclusive scientific opinions, SANTE E2 organised a call for data</w:t>
      </w:r>
      <w:r>
        <w:rPr>
          <w:rStyle w:val="FootnoteReference"/>
          <w:rFonts w:ascii="Times New Roman" w:eastAsia="Calibri" w:hAnsi="Times New Roman" w:cs="Times New Roman"/>
          <w:color w:val="000000"/>
          <w:sz w:val="24"/>
          <w:szCs w:val="24"/>
          <w:lang w:eastAsia="en-GB"/>
        </w:rPr>
        <w:footnoteReference w:id="3"/>
      </w:r>
      <w:r w:rsidRPr="00771B27">
        <w:rPr>
          <w:rFonts w:ascii="Times New Roman" w:eastAsia="Calibri" w:hAnsi="Times New Roman" w:cs="Times New Roman"/>
          <w:color w:val="000000"/>
          <w:sz w:val="24"/>
          <w:szCs w:val="24"/>
          <w:lang w:eastAsia="en-GB"/>
        </w:rPr>
        <w:t xml:space="preserve"> (published 1</w:t>
      </w:r>
      <w:r>
        <w:rPr>
          <w:rFonts w:ascii="Times New Roman" w:eastAsia="Calibri" w:hAnsi="Times New Roman" w:cs="Times New Roman"/>
          <w:color w:val="000000"/>
          <w:sz w:val="24"/>
          <w:szCs w:val="24"/>
          <w:lang w:eastAsia="en-GB"/>
        </w:rPr>
        <w:t>0</w:t>
      </w:r>
      <w:r w:rsidRPr="00771B27">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October</w:t>
      </w:r>
      <w:r w:rsidRPr="00771B27">
        <w:rPr>
          <w:rFonts w:ascii="Times New Roman" w:eastAsia="Calibri" w:hAnsi="Times New Roman" w:cs="Times New Roman"/>
          <w:color w:val="000000"/>
          <w:sz w:val="24"/>
          <w:szCs w:val="24"/>
          <w:lang w:eastAsia="en-GB"/>
        </w:rPr>
        <w:t xml:space="preserve"> 201</w:t>
      </w:r>
      <w:r>
        <w:rPr>
          <w:rFonts w:ascii="Times New Roman" w:eastAsia="Calibri" w:hAnsi="Times New Roman" w:cs="Times New Roman"/>
          <w:color w:val="000000"/>
          <w:sz w:val="24"/>
          <w:szCs w:val="24"/>
          <w:lang w:eastAsia="en-GB"/>
        </w:rPr>
        <w:t>6</w:t>
      </w:r>
      <w:r w:rsidRPr="00771B27">
        <w:rPr>
          <w:rFonts w:ascii="Times New Roman" w:eastAsia="Calibri" w:hAnsi="Times New Roman" w:cs="Times New Roman"/>
          <w:color w:val="000000"/>
          <w:sz w:val="24"/>
          <w:szCs w:val="24"/>
          <w:lang w:eastAsia="en-GB"/>
        </w:rPr>
        <w:t xml:space="preserve">) requesting business operators to submit the </w:t>
      </w:r>
      <w:r>
        <w:rPr>
          <w:rFonts w:ascii="Times New Roman" w:eastAsia="Calibri" w:hAnsi="Times New Roman" w:cs="Times New Roman"/>
          <w:color w:val="000000"/>
          <w:sz w:val="24"/>
          <w:szCs w:val="24"/>
          <w:lang w:eastAsia="en-GB"/>
        </w:rPr>
        <w:t xml:space="preserve">scientific and </w:t>
      </w:r>
      <w:r w:rsidRPr="00771B27">
        <w:rPr>
          <w:rFonts w:ascii="Times New Roman" w:eastAsia="Calibri" w:hAnsi="Times New Roman" w:cs="Times New Roman"/>
          <w:color w:val="000000"/>
          <w:sz w:val="24"/>
          <w:szCs w:val="24"/>
          <w:lang w:eastAsia="en-GB"/>
        </w:rPr>
        <w:t>technical data needed to address the issues identified by EFSA</w:t>
      </w:r>
      <w:r>
        <w:rPr>
          <w:rFonts w:ascii="Times New Roman" w:eastAsia="Calibri" w:hAnsi="Times New Roman" w:cs="Times New Roman"/>
          <w:color w:val="000000"/>
          <w:sz w:val="24"/>
          <w:szCs w:val="24"/>
          <w:lang w:eastAsia="en-GB"/>
        </w:rPr>
        <w:t>. The call for data specified “</w:t>
      </w:r>
      <w:r w:rsidRPr="003F4775">
        <w:rPr>
          <w:rFonts w:ascii="Times New Roman" w:eastAsia="Calibri" w:hAnsi="Times New Roman" w:cs="Times New Roman"/>
          <w:i/>
          <w:iCs/>
          <w:color w:val="000000"/>
          <w:sz w:val="24"/>
          <w:szCs w:val="24"/>
          <w:lang w:eastAsia="en-GB"/>
        </w:rPr>
        <w:t>If business operators do not provide the requested data (by the predefined deadline) the present authorisation will be revised based on EFSA’s current scientific opinion and the additive(s) may be removed from the Union list of permitted additives. The same applies if the new data submitted is not sufficient for EFSA to conclude the risk assessment, since there will be no successive requests for additional data</w:t>
      </w:r>
      <w:r w:rsidRPr="003F4775">
        <w:rPr>
          <w:rFonts w:ascii="Times New Roman" w:eastAsia="Calibri" w:hAnsi="Times New Roman" w:cs="Times New Roman"/>
          <w:color w:val="000000"/>
          <w:sz w:val="24"/>
          <w:szCs w:val="24"/>
          <w:lang w:eastAsia="en-GB"/>
        </w:rPr>
        <w:t>.</w:t>
      </w:r>
      <w:r>
        <w:rPr>
          <w:rFonts w:ascii="Times New Roman" w:eastAsia="Calibri" w:hAnsi="Times New Roman" w:cs="Times New Roman"/>
          <w:color w:val="000000"/>
          <w:sz w:val="24"/>
          <w:szCs w:val="24"/>
          <w:lang w:eastAsia="en-GB"/>
        </w:rPr>
        <w:t>”</w:t>
      </w:r>
    </w:p>
    <w:p w14:paraId="2E90A199" w14:textId="77777777" w:rsidR="00486BD7" w:rsidRDefault="00486BD7" w:rsidP="00486BD7">
      <w:pPr>
        <w:autoSpaceDE w:val="0"/>
        <w:autoSpaceDN w:val="0"/>
        <w:adjustRightInd w:val="0"/>
        <w:spacing w:after="120" w:line="240" w:lineRule="auto"/>
        <w:jc w:val="both"/>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 xml:space="preserve">Following the closure of the call for data, EFSA was requested to provide an updated scientific opinion as regards the safety of </w:t>
      </w:r>
      <w:r w:rsidRPr="003F4775">
        <w:rPr>
          <w:rFonts w:ascii="Times New Roman" w:eastAsia="Calibri" w:hAnsi="Times New Roman" w:cs="Times New Roman"/>
          <w:color w:val="000000"/>
          <w:sz w:val="24"/>
          <w:szCs w:val="24"/>
          <w:lang w:eastAsia="en-GB"/>
        </w:rPr>
        <w:t>the</w:t>
      </w:r>
      <w:r>
        <w:rPr>
          <w:rFonts w:ascii="Times New Roman" w:eastAsia="Calibri" w:hAnsi="Times New Roman" w:cs="Times New Roman"/>
          <w:color w:val="000000"/>
          <w:sz w:val="24"/>
          <w:szCs w:val="24"/>
          <w:lang w:eastAsia="en-GB"/>
        </w:rPr>
        <w:t xml:space="preserve"> permitted</w:t>
      </w:r>
      <w:r w:rsidRPr="003F4775">
        <w:rPr>
          <w:rFonts w:ascii="Times New Roman" w:eastAsia="Calibri" w:hAnsi="Times New Roman" w:cs="Times New Roman"/>
          <w:color w:val="000000"/>
          <w:sz w:val="24"/>
          <w:szCs w:val="24"/>
          <w:lang w:eastAsia="en-GB"/>
        </w:rPr>
        <w:t xml:space="preserve"> food additives sulfur dioxide (E 220), sodium </w:t>
      </w:r>
      <w:proofErr w:type="spellStart"/>
      <w:r w:rsidRPr="003F4775">
        <w:rPr>
          <w:rFonts w:ascii="Times New Roman" w:eastAsia="Calibri" w:hAnsi="Times New Roman" w:cs="Times New Roman"/>
          <w:color w:val="000000"/>
          <w:sz w:val="24"/>
          <w:szCs w:val="24"/>
          <w:lang w:eastAsia="en-GB"/>
        </w:rPr>
        <w:t>sulfite</w:t>
      </w:r>
      <w:proofErr w:type="spellEnd"/>
      <w:r w:rsidRPr="003F4775">
        <w:rPr>
          <w:rFonts w:ascii="Times New Roman" w:eastAsia="Calibri" w:hAnsi="Times New Roman" w:cs="Times New Roman"/>
          <w:color w:val="000000"/>
          <w:sz w:val="24"/>
          <w:szCs w:val="24"/>
          <w:lang w:eastAsia="en-GB"/>
        </w:rPr>
        <w:t xml:space="preserve"> (E 221), sodium </w:t>
      </w:r>
      <w:proofErr w:type="spellStart"/>
      <w:r w:rsidRPr="003F4775">
        <w:rPr>
          <w:rFonts w:ascii="Times New Roman" w:eastAsia="Calibri" w:hAnsi="Times New Roman" w:cs="Times New Roman"/>
          <w:color w:val="000000"/>
          <w:sz w:val="24"/>
          <w:szCs w:val="24"/>
          <w:lang w:eastAsia="en-GB"/>
        </w:rPr>
        <w:t>bisulfite</w:t>
      </w:r>
      <w:proofErr w:type="spellEnd"/>
      <w:r>
        <w:rPr>
          <w:rFonts w:ascii="Times New Roman" w:eastAsia="Calibri" w:hAnsi="Times New Roman" w:cs="Times New Roman"/>
          <w:color w:val="000000"/>
          <w:sz w:val="24"/>
          <w:szCs w:val="24"/>
          <w:lang w:eastAsia="en-GB"/>
        </w:rPr>
        <w:t xml:space="preserve"> </w:t>
      </w:r>
      <w:r w:rsidRPr="003F4775">
        <w:rPr>
          <w:rFonts w:ascii="Times New Roman" w:eastAsia="Calibri" w:hAnsi="Times New Roman" w:cs="Times New Roman"/>
          <w:color w:val="000000"/>
          <w:sz w:val="24"/>
          <w:szCs w:val="24"/>
          <w:lang w:eastAsia="en-GB"/>
        </w:rPr>
        <w:t xml:space="preserve">(E 222), sodium metabisulfite (E 223), potassium metabisulfite (E 224), calcium </w:t>
      </w:r>
      <w:proofErr w:type="spellStart"/>
      <w:r w:rsidRPr="003F4775">
        <w:rPr>
          <w:rFonts w:ascii="Times New Roman" w:eastAsia="Calibri" w:hAnsi="Times New Roman" w:cs="Times New Roman"/>
          <w:color w:val="000000"/>
          <w:sz w:val="24"/>
          <w:szCs w:val="24"/>
          <w:lang w:eastAsia="en-GB"/>
        </w:rPr>
        <w:t>sulfite</w:t>
      </w:r>
      <w:proofErr w:type="spellEnd"/>
      <w:r w:rsidRPr="003F4775">
        <w:rPr>
          <w:rFonts w:ascii="Times New Roman" w:eastAsia="Calibri" w:hAnsi="Times New Roman" w:cs="Times New Roman"/>
          <w:color w:val="000000"/>
          <w:sz w:val="24"/>
          <w:szCs w:val="24"/>
          <w:lang w:eastAsia="en-GB"/>
        </w:rPr>
        <w:t xml:space="preserve"> (E 226), calcium</w:t>
      </w:r>
      <w:r>
        <w:rPr>
          <w:rFonts w:ascii="Times New Roman" w:eastAsia="Calibri" w:hAnsi="Times New Roman" w:cs="Times New Roman"/>
          <w:color w:val="000000"/>
          <w:sz w:val="24"/>
          <w:szCs w:val="24"/>
          <w:lang w:eastAsia="en-GB"/>
        </w:rPr>
        <w:t xml:space="preserve"> </w:t>
      </w:r>
      <w:proofErr w:type="spellStart"/>
      <w:r w:rsidRPr="003F4775">
        <w:rPr>
          <w:rFonts w:ascii="Times New Roman" w:eastAsia="Calibri" w:hAnsi="Times New Roman" w:cs="Times New Roman"/>
          <w:color w:val="000000"/>
          <w:sz w:val="24"/>
          <w:szCs w:val="24"/>
          <w:lang w:eastAsia="en-GB"/>
        </w:rPr>
        <w:t>bisulfite</w:t>
      </w:r>
      <w:proofErr w:type="spellEnd"/>
      <w:r w:rsidRPr="003F4775">
        <w:rPr>
          <w:rFonts w:ascii="Times New Roman" w:eastAsia="Calibri" w:hAnsi="Times New Roman" w:cs="Times New Roman"/>
          <w:color w:val="000000"/>
          <w:sz w:val="24"/>
          <w:szCs w:val="24"/>
          <w:lang w:eastAsia="en-GB"/>
        </w:rPr>
        <w:t xml:space="preserve"> (E 227) and potassium </w:t>
      </w:r>
      <w:proofErr w:type="spellStart"/>
      <w:r w:rsidRPr="003F4775">
        <w:rPr>
          <w:rFonts w:ascii="Times New Roman" w:eastAsia="Calibri" w:hAnsi="Times New Roman" w:cs="Times New Roman"/>
          <w:color w:val="000000"/>
          <w:sz w:val="24"/>
          <w:szCs w:val="24"/>
          <w:lang w:eastAsia="en-GB"/>
        </w:rPr>
        <w:t>bisulfite</w:t>
      </w:r>
      <w:proofErr w:type="spellEnd"/>
      <w:r w:rsidRPr="003F4775">
        <w:rPr>
          <w:rFonts w:ascii="Times New Roman" w:eastAsia="Calibri" w:hAnsi="Times New Roman" w:cs="Times New Roman"/>
          <w:color w:val="000000"/>
          <w:sz w:val="24"/>
          <w:szCs w:val="24"/>
          <w:lang w:eastAsia="en-GB"/>
        </w:rPr>
        <w:t xml:space="preserve"> (E 228)</w:t>
      </w:r>
      <w:r>
        <w:rPr>
          <w:rFonts w:ascii="Times New Roman" w:eastAsia="Calibri" w:hAnsi="Times New Roman" w:cs="Times New Roman"/>
          <w:color w:val="000000"/>
          <w:sz w:val="24"/>
          <w:szCs w:val="24"/>
          <w:lang w:eastAsia="en-GB"/>
        </w:rPr>
        <w:t xml:space="preserve">. </w:t>
      </w:r>
    </w:p>
    <w:p w14:paraId="7D944910" w14:textId="77777777" w:rsidR="00486BD7" w:rsidRDefault="00486BD7" w:rsidP="00486BD7">
      <w:pPr>
        <w:autoSpaceDE w:val="0"/>
        <w:autoSpaceDN w:val="0"/>
        <w:adjustRightInd w:val="0"/>
        <w:spacing w:after="120" w:line="240" w:lineRule="auto"/>
        <w:jc w:val="both"/>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 xml:space="preserve">On 28 September 2022, the EFSA Panel on Food Additives and Flavourings (FAF) adopted a scientific opinion addressing the follow-up to the re-evaluation. </w:t>
      </w:r>
      <w:r w:rsidRPr="00464A96">
        <w:rPr>
          <w:rFonts w:ascii="Times New Roman" w:eastAsia="Calibri" w:hAnsi="Times New Roman" w:cs="Times New Roman"/>
          <w:color w:val="000000"/>
          <w:sz w:val="24"/>
          <w:szCs w:val="24"/>
          <w:lang w:eastAsia="en-GB"/>
        </w:rPr>
        <w:t>No new biological or toxicological data</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 xml:space="preserve">addressing the data gaps described in the re-evaluation were submitted by IBOs. </w:t>
      </w:r>
      <w:proofErr w:type="gramStart"/>
      <w:r w:rsidRPr="00464A96">
        <w:rPr>
          <w:rFonts w:ascii="Times New Roman" w:eastAsia="Calibri" w:hAnsi="Times New Roman" w:cs="Times New Roman"/>
          <w:color w:val="000000"/>
          <w:sz w:val="24"/>
          <w:szCs w:val="24"/>
          <w:lang w:eastAsia="en-GB"/>
        </w:rPr>
        <w:t>Taking into account</w:t>
      </w:r>
      <w:proofErr w:type="gramEnd"/>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data identified from the literature search, the Panel concluded that there was no substantial reduction</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in the uncertainties previously identified in the re-evaluation. Therefore, the Panel considered that the</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available toxicity database was inadequate to derive an ADI and withdrew the temporary</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group acceptable daily intake (ADI). A margin of exposure (MOE) approach was considered</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appropriate to assess the risk for these food additives. A lower confidence limit of the benchmark dose</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of 38 mg SO</w:t>
      </w:r>
      <w:r w:rsidRPr="00464A96">
        <w:rPr>
          <w:rFonts w:ascii="Times New Roman" w:eastAsia="Calibri" w:hAnsi="Times New Roman" w:cs="Times New Roman"/>
          <w:color w:val="000000"/>
          <w:sz w:val="24"/>
          <w:szCs w:val="24"/>
          <w:vertAlign w:val="subscript"/>
          <w:lang w:eastAsia="en-GB"/>
        </w:rPr>
        <w:t>2</w:t>
      </w:r>
      <w:r w:rsidRPr="00464A96">
        <w:rPr>
          <w:rFonts w:ascii="Times New Roman" w:eastAsia="Calibri" w:hAnsi="Times New Roman" w:cs="Times New Roman"/>
          <w:color w:val="000000"/>
          <w:sz w:val="24"/>
          <w:szCs w:val="24"/>
          <w:lang w:eastAsia="en-GB"/>
        </w:rPr>
        <w:t xml:space="preserve"> equivalents/kg </w:t>
      </w:r>
      <w:proofErr w:type="spellStart"/>
      <w:r w:rsidRPr="00464A96">
        <w:rPr>
          <w:rFonts w:ascii="Times New Roman" w:eastAsia="Calibri" w:hAnsi="Times New Roman" w:cs="Times New Roman"/>
          <w:color w:val="000000"/>
          <w:sz w:val="24"/>
          <w:szCs w:val="24"/>
          <w:lang w:eastAsia="en-GB"/>
        </w:rPr>
        <w:t>bw</w:t>
      </w:r>
      <w:proofErr w:type="spellEnd"/>
      <w:r w:rsidRPr="00464A96">
        <w:rPr>
          <w:rFonts w:ascii="Times New Roman" w:eastAsia="Calibri" w:hAnsi="Times New Roman" w:cs="Times New Roman"/>
          <w:color w:val="000000"/>
          <w:sz w:val="24"/>
          <w:szCs w:val="24"/>
          <w:lang w:eastAsia="en-GB"/>
        </w:rPr>
        <w:t xml:space="preserve"> per day, which is lower than the previous reference point of 70 mg</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SO</w:t>
      </w:r>
      <w:r w:rsidRPr="00464A96">
        <w:rPr>
          <w:rFonts w:ascii="Times New Roman" w:eastAsia="Calibri" w:hAnsi="Times New Roman" w:cs="Times New Roman"/>
          <w:color w:val="000000"/>
          <w:sz w:val="24"/>
          <w:szCs w:val="24"/>
          <w:vertAlign w:val="subscript"/>
          <w:lang w:eastAsia="en-GB"/>
        </w:rPr>
        <w:t>2</w:t>
      </w:r>
      <w:r w:rsidRPr="00464A96">
        <w:rPr>
          <w:rFonts w:ascii="Times New Roman" w:eastAsia="Calibri" w:hAnsi="Times New Roman" w:cs="Times New Roman"/>
          <w:color w:val="000000"/>
          <w:sz w:val="24"/>
          <w:szCs w:val="24"/>
          <w:lang w:eastAsia="en-GB"/>
        </w:rPr>
        <w:t xml:space="preserve"> equivalents/kg </w:t>
      </w:r>
      <w:proofErr w:type="spellStart"/>
      <w:r w:rsidRPr="00464A96">
        <w:rPr>
          <w:rFonts w:ascii="Times New Roman" w:eastAsia="Calibri" w:hAnsi="Times New Roman" w:cs="Times New Roman"/>
          <w:color w:val="000000"/>
          <w:sz w:val="24"/>
          <w:szCs w:val="24"/>
          <w:lang w:eastAsia="en-GB"/>
        </w:rPr>
        <w:t>bw</w:t>
      </w:r>
      <w:proofErr w:type="spellEnd"/>
      <w:r w:rsidRPr="00464A96">
        <w:rPr>
          <w:rFonts w:ascii="Times New Roman" w:eastAsia="Calibri" w:hAnsi="Times New Roman" w:cs="Times New Roman"/>
          <w:color w:val="000000"/>
          <w:sz w:val="24"/>
          <w:szCs w:val="24"/>
          <w:lang w:eastAsia="en-GB"/>
        </w:rPr>
        <w:t xml:space="preserve"> per day, was estimated based on prolonged visual evoked potential latency. </w:t>
      </w:r>
      <w:r w:rsidRPr="00464A96">
        <w:rPr>
          <w:rFonts w:ascii="Times New Roman" w:eastAsia="Calibri" w:hAnsi="Times New Roman" w:cs="Times New Roman"/>
          <w:color w:val="000000"/>
          <w:sz w:val="24"/>
          <w:szCs w:val="24"/>
          <w:lang w:eastAsia="en-GB"/>
        </w:rPr>
        <w:lastRenderedPageBreak/>
        <w:t>An</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 xml:space="preserve">assessment factor of 80 was applied for the assessment of the </w:t>
      </w:r>
      <w:proofErr w:type="spellStart"/>
      <w:r w:rsidRPr="00464A96">
        <w:rPr>
          <w:rFonts w:ascii="Times New Roman" w:eastAsia="Calibri" w:hAnsi="Times New Roman" w:cs="Times New Roman"/>
          <w:color w:val="000000"/>
          <w:sz w:val="24"/>
          <w:szCs w:val="24"/>
          <w:lang w:eastAsia="en-GB"/>
        </w:rPr>
        <w:t>MoE</w:t>
      </w:r>
      <w:proofErr w:type="spellEnd"/>
      <w:r w:rsidRPr="00464A96">
        <w:rPr>
          <w:rFonts w:ascii="Times New Roman" w:eastAsia="Calibri" w:hAnsi="Times New Roman" w:cs="Times New Roman"/>
          <w:color w:val="000000"/>
          <w:sz w:val="24"/>
          <w:szCs w:val="24"/>
          <w:lang w:eastAsia="en-GB"/>
        </w:rPr>
        <w:t>. At the estimated dietary</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exposures, when using a refined exposure scenario (Data set D), MOEs at the maximum of 95</w:t>
      </w:r>
      <w:r w:rsidRPr="00464A96">
        <w:rPr>
          <w:rFonts w:ascii="Times New Roman" w:eastAsia="Calibri" w:hAnsi="Times New Roman" w:cs="Times New Roman"/>
          <w:color w:val="000000"/>
          <w:sz w:val="24"/>
          <w:szCs w:val="24"/>
          <w:vertAlign w:val="superscript"/>
          <w:lang w:eastAsia="en-GB"/>
        </w:rPr>
        <w:t>th</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percentile ranges were below 80 for all population groups except for adolescents. The dietary</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exposures estimated using the maximum permitted levels would result in MOEs below 80 in all</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population groups at the maximum of the ranges of the mean, and for most of the population groups</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at both minimum and maximum of the ranges at the 95th percentile. The Panel concluded that this</w:t>
      </w:r>
      <w:r>
        <w:rPr>
          <w:rFonts w:ascii="Times New Roman" w:eastAsia="Calibri" w:hAnsi="Times New Roman" w:cs="Times New Roman"/>
          <w:color w:val="000000"/>
          <w:sz w:val="24"/>
          <w:szCs w:val="24"/>
          <w:lang w:eastAsia="en-GB"/>
        </w:rPr>
        <w:t xml:space="preserve"> </w:t>
      </w:r>
      <w:r w:rsidRPr="00464A96">
        <w:rPr>
          <w:rFonts w:ascii="Times New Roman" w:eastAsia="Calibri" w:hAnsi="Times New Roman" w:cs="Times New Roman"/>
          <w:color w:val="000000"/>
          <w:sz w:val="24"/>
          <w:szCs w:val="24"/>
          <w:lang w:eastAsia="en-GB"/>
        </w:rPr>
        <w:t>raises a safety concern for both dietary exposure scenarios.</w:t>
      </w:r>
      <w:r>
        <w:rPr>
          <w:rFonts w:ascii="Times New Roman" w:eastAsia="Calibri" w:hAnsi="Times New Roman" w:cs="Times New Roman"/>
          <w:color w:val="000000"/>
          <w:sz w:val="24"/>
          <w:szCs w:val="24"/>
          <w:lang w:eastAsia="en-GB"/>
        </w:rPr>
        <w:t xml:space="preserve"> </w:t>
      </w:r>
    </w:p>
    <w:p w14:paraId="3CC3ECE3" w14:textId="77777777" w:rsidR="00486BD7" w:rsidRDefault="00486BD7" w:rsidP="00486BD7">
      <w:pPr>
        <w:spacing w:after="120" w:line="240" w:lineRule="auto"/>
        <w:jc w:val="both"/>
        <w:rPr>
          <w:rFonts w:ascii="Times New Roman" w:eastAsia="Times New Roman" w:hAnsi="Times New Roman" w:cs="Times New Roman"/>
          <w:b/>
          <w:sz w:val="24"/>
          <w:szCs w:val="20"/>
          <w:u w:val="single"/>
        </w:rPr>
      </w:pPr>
      <w:r w:rsidRPr="003F4775">
        <w:rPr>
          <w:rFonts w:ascii="Times New Roman" w:eastAsia="Times New Roman" w:hAnsi="Times New Roman" w:cs="Times New Roman"/>
          <w:b/>
          <w:sz w:val="24"/>
          <w:szCs w:val="20"/>
          <w:u w:val="single"/>
        </w:rPr>
        <w:t>Risk management follow-up to the re-evaluation</w:t>
      </w:r>
    </w:p>
    <w:p w14:paraId="4363A6E4" w14:textId="77777777" w:rsidR="00486BD7" w:rsidRPr="009023ED" w:rsidRDefault="00486BD7" w:rsidP="00486BD7">
      <w:pPr>
        <w:spacing w:after="12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The </w:t>
      </w:r>
      <w:r w:rsidRPr="009023ED">
        <w:rPr>
          <w:rFonts w:ascii="Times New Roman" w:hAnsi="Times New Roman" w:cs="Times New Roman"/>
          <w:sz w:val="24"/>
          <w:szCs w:val="24"/>
          <w:lang w:val="en-IE"/>
        </w:rPr>
        <w:t xml:space="preserve">Working Party of Governmental Experts on Additives (WGA), </w:t>
      </w:r>
      <w:proofErr w:type="gramStart"/>
      <w:r w:rsidRPr="009023ED">
        <w:rPr>
          <w:rFonts w:ascii="Times New Roman" w:hAnsi="Times New Roman" w:cs="Times New Roman"/>
          <w:sz w:val="24"/>
          <w:szCs w:val="24"/>
          <w:lang w:val="en-IE"/>
        </w:rPr>
        <w:t>i.e.</w:t>
      </w:r>
      <w:proofErr w:type="gramEnd"/>
      <w:r w:rsidRPr="009023ED">
        <w:rPr>
          <w:rFonts w:ascii="Times New Roman" w:hAnsi="Times New Roman" w:cs="Times New Roman"/>
          <w:sz w:val="24"/>
          <w:szCs w:val="24"/>
          <w:lang w:val="en-IE"/>
        </w:rPr>
        <w:t xml:space="preserve"> a working group of the Standing Committee on Plants</w:t>
      </w:r>
      <w:r>
        <w:rPr>
          <w:rFonts w:ascii="Times New Roman" w:hAnsi="Times New Roman" w:cs="Times New Roman"/>
          <w:sz w:val="24"/>
          <w:szCs w:val="24"/>
          <w:lang w:val="en-IE"/>
        </w:rPr>
        <w:t>,</w:t>
      </w:r>
      <w:r w:rsidRPr="009023ED">
        <w:rPr>
          <w:rFonts w:ascii="Times New Roman" w:hAnsi="Times New Roman" w:cs="Times New Roman"/>
          <w:sz w:val="24"/>
          <w:szCs w:val="24"/>
          <w:lang w:val="en-IE"/>
        </w:rPr>
        <w:t xml:space="preserve"> Animals</w:t>
      </w:r>
      <w:r>
        <w:rPr>
          <w:rFonts w:ascii="Times New Roman" w:hAnsi="Times New Roman" w:cs="Times New Roman"/>
          <w:sz w:val="24"/>
          <w:szCs w:val="24"/>
          <w:lang w:val="en-IE"/>
        </w:rPr>
        <w:t>,</w:t>
      </w:r>
      <w:r w:rsidRPr="009023ED">
        <w:rPr>
          <w:rFonts w:ascii="Times New Roman" w:hAnsi="Times New Roman" w:cs="Times New Roman"/>
          <w:sz w:val="24"/>
          <w:szCs w:val="24"/>
          <w:lang w:val="en-IE"/>
        </w:rPr>
        <w:t xml:space="preserve"> Food and Feed, section Novel Food and Toxicological Safety of the Food Chain, </w:t>
      </w:r>
      <w:r>
        <w:rPr>
          <w:rFonts w:ascii="Times New Roman" w:hAnsi="Times New Roman" w:cs="Times New Roman"/>
          <w:sz w:val="24"/>
          <w:szCs w:val="24"/>
          <w:lang w:val="en-IE"/>
        </w:rPr>
        <w:t xml:space="preserve">has initiated the discussion </w:t>
      </w:r>
      <w:r w:rsidRPr="009023ED">
        <w:rPr>
          <w:rFonts w:ascii="Times New Roman" w:hAnsi="Times New Roman" w:cs="Times New Roman"/>
          <w:sz w:val="24"/>
          <w:szCs w:val="24"/>
          <w:lang w:val="en-IE"/>
        </w:rPr>
        <w:t>on the follow-up to the re-evaluation</w:t>
      </w:r>
      <w:r>
        <w:rPr>
          <w:rFonts w:ascii="Times New Roman" w:hAnsi="Times New Roman" w:cs="Times New Roman"/>
          <w:sz w:val="24"/>
          <w:szCs w:val="24"/>
          <w:lang w:val="en-IE"/>
        </w:rPr>
        <w:t xml:space="preserve"> of sulfur dioxide-sulfites (E 220-228). In the context of this ongoing work, the WGA would like to consult interested business operators with respect to the authorisation of E 226-228 and the uses of E 220-228 in accordance with Annex II, Part E and Annex III of Regulation (EC) No 1333/2008. </w:t>
      </w:r>
    </w:p>
    <w:p w14:paraId="61065E48" w14:textId="77777777" w:rsidR="00486BD7" w:rsidRDefault="00486BD7" w:rsidP="00486BD7">
      <w:pPr>
        <w:spacing w:after="120" w:line="240" w:lineRule="auto"/>
        <w:jc w:val="both"/>
        <w:rPr>
          <w:rFonts w:ascii="Times New Roman" w:eastAsia="Times New Roman" w:hAnsi="Times New Roman" w:cs="Times New Roman"/>
          <w:b/>
          <w:sz w:val="24"/>
          <w:szCs w:val="20"/>
        </w:rPr>
      </w:pPr>
    </w:p>
    <w:p w14:paraId="4C5BC7BF" w14:textId="77777777" w:rsidR="00486BD7" w:rsidRPr="00F16541" w:rsidRDefault="00486BD7" w:rsidP="00486BD7">
      <w:pPr>
        <w:spacing w:after="12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Inclusion</w:t>
      </w:r>
      <w:r w:rsidRPr="00F16541">
        <w:rPr>
          <w:rFonts w:ascii="Times New Roman" w:eastAsia="Times New Roman" w:hAnsi="Times New Roman" w:cs="Times New Roman"/>
          <w:b/>
          <w:sz w:val="24"/>
          <w:szCs w:val="20"/>
        </w:rPr>
        <w:t xml:space="preserve"> of calcium </w:t>
      </w:r>
      <w:proofErr w:type="spellStart"/>
      <w:r w:rsidRPr="00F16541">
        <w:rPr>
          <w:rFonts w:ascii="Times New Roman" w:eastAsia="Times New Roman" w:hAnsi="Times New Roman" w:cs="Times New Roman"/>
          <w:b/>
          <w:sz w:val="24"/>
          <w:szCs w:val="20"/>
        </w:rPr>
        <w:t>sulfite</w:t>
      </w:r>
      <w:proofErr w:type="spellEnd"/>
      <w:r w:rsidRPr="00F16541">
        <w:rPr>
          <w:rFonts w:ascii="Times New Roman" w:eastAsia="Times New Roman" w:hAnsi="Times New Roman" w:cs="Times New Roman"/>
          <w:b/>
          <w:sz w:val="24"/>
          <w:szCs w:val="20"/>
        </w:rPr>
        <w:t xml:space="preserve"> (E 226), calcium </w:t>
      </w:r>
      <w:proofErr w:type="spellStart"/>
      <w:r w:rsidRPr="00F16541">
        <w:rPr>
          <w:rFonts w:ascii="Times New Roman" w:eastAsia="Times New Roman" w:hAnsi="Times New Roman" w:cs="Times New Roman"/>
          <w:b/>
          <w:sz w:val="24"/>
          <w:szCs w:val="20"/>
        </w:rPr>
        <w:t>bisulfite</w:t>
      </w:r>
      <w:proofErr w:type="spellEnd"/>
      <w:r w:rsidRPr="00F16541">
        <w:rPr>
          <w:rFonts w:ascii="Times New Roman" w:eastAsia="Times New Roman" w:hAnsi="Times New Roman" w:cs="Times New Roman"/>
          <w:b/>
          <w:sz w:val="24"/>
          <w:szCs w:val="20"/>
        </w:rPr>
        <w:t xml:space="preserve"> (E 227) and potassium </w:t>
      </w:r>
      <w:proofErr w:type="spellStart"/>
      <w:r w:rsidRPr="00F16541">
        <w:rPr>
          <w:rFonts w:ascii="Times New Roman" w:eastAsia="Times New Roman" w:hAnsi="Times New Roman" w:cs="Times New Roman"/>
          <w:b/>
          <w:sz w:val="24"/>
          <w:szCs w:val="20"/>
        </w:rPr>
        <w:t>bisulfite</w:t>
      </w:r>
      <w:proofErr w:type="spellEnd"/>
      <w:r w:rsidRPr="00F16541">
        <w:rPr>
          <w:rFonts w:ascii="Times New Roman" w:eastAsia="Times New Roman" w:hAnsi="Times New Roman" w:cs="Times New Roman"/>
          <w:b/>
          <w:sz w:val="24"/>
          <w:szCs w:val="20"/>
        </w:rPr>
        <w:t xml:space="preserve"> (E 228)</w:t>
      </w:r>
      <w:r>
        <w:rPr>
          <w:rFonts w:ascii="Times New Roman" w:eastAsia="Times New Roman" w:hAnsi="Times New Roman" w:cs="Times New Roman"/>
          <w:b/>
          <w:sz w:val="24"/>
          <w:szCs w:val="20"/>
        </w:rPr>
        <w:t xml:space="preserve"> in the Union list of authorised food additives as laid down in Regulation (EC) No 1333/2008</w:t>
      </w:r>
    </w:p>
    <w:p w14:paraId="780AD12F" w14:textId="77777777" w:rsidR="00486BD7" w:rsidRPr="000920ED" w:rsidRDefault="00486BD7" w:rsidP="00486BD7">
      <w:pPr>
        <w:spacing w:after="120" w:line="240" w:lineRule="auto"/>
        <w:jc w:val="both"/>
        <w:rPr>
          <w:rFonts w:ascii="Times New Roman" w:hAnsi="Times New Roman" w:cs="Times New Roman"/>
          <w:sz w:val="24"/>
          <w:szCs w:val="24"/>
          <w:lang w:val="en-IE"/>
        </w:rPr>
      </w:pPr>
      <w:r w:rsidRPr="000920ED">
        <w:rPr>
          <w:rFonts w:ascii="Times New Roman" w:hAnsi="Times New Roman" w:cs="Times New Roman"/>
          <w:sz w:val="24"/>
          <w:szCs w:val="24"/>
          <w:lang w:val="en-IE"/>
        </w:rPr>
        <w:t xml:space="preserve">EFSA recommended in the 2022 opinion to explore the technological need to maintain calcium </w:t>
      </w:r>
      <w:proofErr w:type="spellStart"/>
      <w:r w:rsidRPr="000920ED">
        <w:rPr>
          <w:rFonts w:ascii="Times New Roman" w:hAnsi="Times New Roman" w:cs="Times New Roman"/>
          <w:sz w:val="24"/>
          <w:szCs w:val="24"/>
          <w:lang w:val="en-IE"/>
        </w:rPr>
        <w:t>sulfite</w:t>
      </w:r>
      <w:proofErr w:type="spellEnd"/>
      <w:r w:rsidRPr="000920ED">
        <w:rPr>
          <w:rFonts w:ascii="Times New Roman" w:hAnsi="Times New Roman" w:cs="Times New Roman"/>
          <w:sz w:val="24"/>
          <w:szCs w:val="24"/>
          <w:lang w:val="en-IE"/>
        </w:rPr>
        <w:t xml:space="preserve"> (E 226) and calcium </w:t>
      </w:r>
      <w:proofErr w:type="spellStart"/>
      <w:r w:rsidRPr="000920ED">
        <w:rPr>
          <w:rFonts w:ascii="Times New Roman" w:hAnsi="Times New Roman" w:cs="Times New Roman"/>
          <w:sz w:val="24"/>
          <w:szCs w:val="24"/>
          <w:lang w:val="en-IE"/>
        </w:rPr>
        <w:t>bisulfite</w:t>
      </w:r>
      <w:proofErr w:type="spellEnd"/>
      <w:r w:rsidRPr="000920ED">
        <w:rPr>
          <w:rFonts w:ascii="Times New Roman" w:hAnsi="Times New Roman" w:cs="Times New Roman"/>
          <w:sz w:val="24"/>
          <w:szCs w:val="24"/>
          <w:lang w:val="en-IE"/>
        </w:rPr>
        <w:t xml:space="preserve"> (E 227) on the EU positive list of authorised food additives.</w:t>
      </w:r>
      <w:r>
        <w:rPr>
          <w:rFonts w:ascii="Times New Roman" w:hAnsi="Times New Roman" w:cs="Times New Roman"/>
          <w:sz w:val="24"/>
          <w:szCs w:val="24"/>
          <w:lang w:val="en-IE"/>
        </w:rPr>
        <w:t xml:space="preserve"> </w:t>
      </w:r>
      <w:r w:rsidRPr="000920ED">
        <w:rPr>
          <w:rFonts w:ascii="Times New Roman" w:hAnsi="Times New Roman" w:cs="Times New Roman"/>
          <w:sz w:val="24"/>
          <w:szCs w:val="24"/>
          <w:lang w:val="en-IE"/>
        </w:rPr>
        <w:t xml:space="preserve">Moreover, it was noted that the opinion reports that an interested business operator stated that he is not aware of any member producing E 226, E </w:t>
      </w:r>
      <w:proofErr w:type="gramStart"/>
      <w:r w:rsidRPr="000920ED">
        <w:rPr>
          <w:rFonts w:ascii="Times New Roman" w:hAnsi="Times New Roman" w:cs="Times New Roman"/>
          <w:sz w:val="24"/>
          <w:szCs w:val="24"/>
          <w:lang w:val="en-IE"/>
        </w:rPr>
        <w:t>227</w:t>
      </w:r>
      <w:proofErr w:type="gramEnd"/>
      <w:r w:rsidRPr="000920ED">
        <w:rPr>
          <w:rFonts w:ascii="Times New Roman" w:hAnsi="Times New Roman" w:cs="Times New Roman"/>
          <w:sz w:val="24"/>
          <w:szCs w:val="24"/>
          <w:lang w:val="en-IE"/>
        </w:rPr>
        <w:t xml:space="preserve"> or E 228 and that the production of calcium </w:t>
      </w:r>
      <w:proofErr w:type="spellStart"/>
      <w:r w:rsidRPr="000920ED">
        <w:rPr>
          <w:rFonts w:ascii="Times New Roman" w:hAnsi="Times New Roman" w:cs="Times New Roman"/>
          <w:sz w:val="24"/>
          <w:szCs w:val="24"/>
          <w:lang w:val="en-IE"/>
        </w:rPr>
        <w:t>bisulfite</w:t>
      </w:r>
      <w:proofErr w:type="spellEnd"/>
      <w:r w:rsidRPr="000920ED">
        <w:rPr>
          <w:rFonts w:ascii="Times New Roman" w:hAnsi="Times New Roman" w:cs="Times New Roman"/>
          <w:sz w:val="24"/>
          <w:szCs w:val="24"/>
          <w:lang w:val="en-IE"/>
        </w:rPr>
        <w:t xml:space="preserve"> (E 227) was stopped by the lead registrant in 2012. In addition, no technical data on toxic elements were </w:t>
      </w:r>
      <w:r>
        <w:rPr>
          <w:rFonts w:ascii="Times New Roman" w:hAnsi="Times New Roman" w:cs="Times New Roman"/>
          <w:sz w:val="24"/>
          <w:szCs w:val="24"/>
          <w:lang w:val="en-IE"/>
        </w:rPr>
        <w:t>submitted by business operators</w:t>
      </w:r>
      <w:r w:rsidRPr="000920ED">
        <w:rPr>
          <w:rFonts w:ascii="Times New Roman" w:hAnsi="Times New Roman" w:cs="Times New Roman"/>
          <w:sz w:val="24"/>
          <w:szCs w:val="24"/>
          <w:lang w:val="en-IE"/>
        </w:rPr>
        <w:t xml:space="preserve"> for E 226, E </w:t>
      </w:r>
      <w:proofErr w:type="gramStart"/>
      <w:r w:rsidRPr="000920ED">
        <w:rPr>
          <w:rFonts w:ascii="Times New Roman" w:hAnsi="Times New Roman" w:cs="Times New Roman"/>
          <w:sz w:val="24"/>
          <w:szCs w:val="24"/>
          <w:lang w:val="en-IE"/>
        </w:rPr>
        <w:t>227</w:t>
      </w:r>
      <w:proofErr w:type="gramEnd"/>
      <w:r w:rsidRPr="000920ED">
        <w:rPr>
          <w:rFonts w:ascii="Times New Roman" w:hAnsi="Times New Roman" w:cs="Times New Roman"/>
          <w:sz w:val="24"/>
          <w:szCs w:val="24"/>
          <w:lang w:val="en-IE"/>
        </w:rPr>
        <w:t xml:space="preserve"> or E 228. </w:t>
      </w:r>
    </w:p>
    <w:p w14:paraId="5208005E" w14:textId="77777777" w:rsidR="00486BD7" w:rsidRPr="000920ED" w:rsidRDefault="00486BD7" w:rsidP="00486BD7">
      <w:pPr>
        <w:spacing w:after="120" w:line="240" w:lineRule="auto"/>
        <w:jc w:val="both"/>
        <w:rPr>
          <w:rFonts w:ascii="Times New Roman" w:hAnsi="Times New Roman" w:cs="Times New Roman"/>
          <w:sz w:val="24"/>
          <w:szCs w:val="24"/>
          <w:lang w:val="en-IE"/>
        </w:rPr>
      </w:pPr>
      <w:r w:rsidRPr="000920ED">
        <w:rPr>
          <w:rFonts w:ascii="Times New Roman" w:hAnsi="Times New Roman" w:cs="Times New Roman"/>
          <w:sz w:val="24"/>
          <w:szCs w:val="24"/>
          <w:lang w:val="en-IE"/>
        </w:rPr>
        <w:t>Therefore</w:t>
      </w:r>
      <w:r>
        <w:rPr>
          <w:rFonts w:ascii="Times New Roman" w:hAnsi="Times New Roman" w:cs="Times New Roman"/>
          <w:sz w:val="24"/>
          <w:szCs w:val="24"/>
          <w:lang w:val="en-IE"/>
        </w:rPr>
        <w:t>,</w:t>
      </w:r>
      <w:r w:rsidRPr="000920ED">
        <w:rPr>
          <w:rFonts w:ascii="Times New Roman" w:hAnsi="Times New Roman" w:cs="Times New Roman"/>
          <w:sz w:val="24"/>
          <w:szCs w:val="24"/>
          <w:lang w:val="en-IE"/>
        </w:rPr>
        <w:t xml:space="preserve"> it is concluded that there is no interest that calcium </w:t>
      </w:r>
      <w:proofErr w:type="spellStart"/>
      <w:r w:rsidRPr="000920ED">
        <w:rPr>
          <w:rFonts w:ascii="Times New Roman" w:hAnsi="Times New Roman" w:cs="Times New Roman"/>
          <w:sz w:val="24"/>
          <w:szCs w:val="24"/>
          <w:lang w:val="en-IE"/>
        </w:rPr>
        <w:t>sulfite</w:t>
      </w:r>
      <w:proofErr w:type="spellEnd"/>
      <w:r w:rsidRPr="000920ED">
        <w:rPr>
          <w:rFonts w:ascii="Times New Roman" w:hAnsi="Times New Roman" w:cs="Times New Roman"/>
          <w:sz w:val="24"/>
          <w:szCs w:val="24"/>
          <w:lang w:val="en-IE"/>
        </w:rPr>
        <w:t xml:space="preserve"> (E 226), calcium </w:t>
      </w:r>
      <w:proofErr w:type="spellStart"/>
      <w:r w:rsidRPr="000920ED">
        <w:rPr>
          <w:rFonts w:ascii="Times New Roman" w:hAnsi="Times New Roman" w:cs="Times New Roman"/>
          <w:sz w:val="24"/>
          <w:szCs w:val="24"/>
          <w:lang w:val="en-IE"/>
        </w:rPr>
        <w:t>bisulfite</w:t>
      </w:r>
      <w:proofErr w:type="spellEnd"/>
      <w:r w:rsidRPr="000920ED">
        <w:rPr>
          <w:rFonts w:ascii="Times New Roman" w:hAnsi="Times New Roman" w:cs="Times New Roman"/>
          <w:sz w:val="24"/>
          <w:szCs w:val="24"/>
          <w:lang w:val="en-IE"/>
        </w:rPr>
        <w:t xml:space="preserve"> (E 227) and potassium </w:t>
      </w:r>
      <w:proofErr w:type="spellStart"/>
      <w:r w:rsidRPr="000920ED">
        <w:rPr>
          <w:rFonts w:ascii="Times New Roman" w:hAnsi="Times New Roman" w:cs="Times New Roman"/>
          <w:sz w:val="24"/>
          <w:szCs w:val="24"/>
          <w:lang w:val="en-IE"/>
        </w:rPr>
        <w:t>bisulfite</w:t>
      </w:r>
      <w:proofErr w:type="spellEnd"/>
      <w:r w:rsidRPr="000920ED">
        <w:rPr>
          <w:rFonts w:ascii="Times New Roman" w:hAnsi="Times New Roman" w:cs="Times New Roman"/>
          <w:sz w:val="24"/>
          <w:szCs w:val="24"/>
          <w:lang w:val="en-IE"/>
        </w:rPr>
        <w:t xml:space="preserve"> (E 228)</w:t>
      </w:r>
      <w:r>
        <w:rPr>
          <w:rFonts w:ascii="Times New Roman" w:hAnsi="Times New Roman" w:cs="Times New Roman"/>
          <w:sz w:val="24"/>
          <w:szCs w:val="24"/>
          <w:lang w:val="en-IE"/>
        </w:rPr>
        <w:t xml:space="preserve"> </w:t>
      </w:r>
      <w:r w:rsidRPr="000920ED">
        <w:rPr>
          <w:rFonts w:ascii="Times New Roman" w:hAnsi="Times New Roman" w:cs="Times New Roman"/>
          <w:sz w:val="24"/>
          <w:szCs w:val="24"/>
          <w:lang w:val="en-IE"/>
        </w:rPr>
        <w:t xml:space="preserve">remain permitted in the EU and the current authorisation for the use of </w:t>
      </w:r>
      <w:r>
        <w:rPr>
          <w:rFonts w:ascii="Times New Roman" w:hAnsi="Times New Roman" w:cs="Times New Roman"/>
          <w:sz w:val="24"/>
          <w:szCs w:val="24"/>
          <w:lang w:val="en-IE"/>
        </w:rPr>
        <w:t>these</w:t>
      </w:r>
      <w:r w:rsidRPr="000920ED">
        <w:rPr>
          <w:rFonts w:ascii="Times New Roman" w:hAnsi="Times New Roman" w:cs="Times New Roman"/>
          <w:sz w:val="24"/>
          <w:szCs w:val="24"/>
          <w:lang w:val="en-IE"/>
        </w:rPr>
        <w:t xml:space="preserve"> food additive</w:t>
      </w:r>
      <w:r>
        <w:rPr>
          <w:rFonts w:ascii="Times New Roman" w:hAnsi="Times New Roman" w:cs="Times New Roman"/>
          <w:sz w:val="24"/>
          <w:szCs w:val="24"/>
          <w:lang w:val="en-IE"/>
        </w:rPr>
        <w:t>s</w:t>
      </w:r>
      <w:r w:rsidRPr="000920ED">
        <w:rPr>
          <w:rFonts w:ascii="Times New Roman" w:hAnsi="Times New Roman" w:cs="Times New Roman"/>
          <w:sz w:val="24"/>
          <w:szCs w:val="24"/>
          <w:lang w:val="en-IE"/>
        </w:rPr>
        <w:t xml:space="preserve"> should be terminated (th</w:t>
      </w:r>
      <w:r>
        <w:rPr>
          <w:rFonts w:ascii="Times New Roman" w:hAnsi="Times New Roman" w:cs="Times New Roman"/>
          <w:sz w:val="24"/>
          <w:szCs w:val="24"/>
          <w:lang w:val="en-IE"/>
        </w:rPr>
        <w:t>ese</w:t>
      </w:r>
      <w:r w:rsidRPr="000920ED">
        <w:rPr>
          <w:rFonts w:ascii="Times New Roman" w:hAnsi="Times New Roman" w:cs="Times New Roman"/>
          <w:sz w:val="24"/>
          <w:szCs w:val="24"/>
          <w:lang w:val="en-IE"/>
        </w:rPr>
        <w:t xml:space="preserve"> substance</w:t>
      </w:r>
      <w:r>
        <w:rPr>
          <w:rFonts w:ascii="Times New Roman" w:hAnsi="Times New Roman" w:cs="Times New Roman"/>
          <w:sz w:val="24"/>
          <w:szCs w:val="24"/>
          <w:lang w:val="en-IE"/>
        </w:rPr>
        <w:t>s</w:t>
      </w:r>
      <w:r w:rsidRPr="000920ED">
        <w:rPr>
          <w:rFonts w:ascii="Times New Roman" w:hAnsi="Times New Roman" w:cs="Times New Roman"/>
          <w:sz w:val="24"/>
          <w:szCs w:val="24"/>
          <w:lang w:val="en-IE"/>
        </w:rPr>
        <w:t xml:space="preserve"> should be removed from the list of authorised food additives).</w:t>
      </w:r>
    </w:p>
    <w:p w14:paraId="1802FF93" w14:textId="77777777" w:rsidR="00486BD7" w:rsidRPr="000920ED" w:rsidRDefault="00486BD7" w:rsidP="00486BD7">
      <w:pPr>
        <w:spacing w:after="120" w:line="240" w:lineRule="auto"/>
        <w:jc w:val="both"/>
        <w:rPr>
          <w:rFonts w:ascii="Times New Roman" w:hAnsi="Times New Roman" w:cs="Times New Roman"/>
          <w:sz w:val="24"/>
          <w:szCs w:val="24"/>
          <w:lang w:val="en-IE"/>
        </w:rPr>
      </w:pPr>
    </w:p>
    <w:p w14:paraId="461373AF" w14:textId="77777777" w:rsidR="00486BD7" w:rsidRPr="00F16541" w:rsidRDefault="00486BD7" w:rsidP="00486BD7">
      <w:pPr>
        <w:spacing w:after="120" w:line="240" w:lineRule="auto"/>
        <w:jc w:val="both"/>
        <w:rPr>
          <w:rFonts w:ascii="Times New Roman" w:eastAsia="Times New Roman" w:hAnsi="Times New Roman" w:cs="Times New Roman"/>
          <w:b/>
          <w:sz w:val="24"/>
          <w:szCs w:val="20"/>
        </w:rPr>
      </w:pPr>
      <w:r w:rsidRPr="00F16541">
        <w:rPr>
          <w:rFonts w:ascii="Times New Roman" w:eastAsia="Times New Roman" w:hAnsi="Times New Roman" w:cs="Times New Roman"/>
          <w:b/>
          <w:sz w:val="24"/>
          <w:szCs w:val="20"/>
        </w:rPr>
        <w:t>Uses in accordance with Annex II</w:t>
      </w:r>
      <w:r>
        <w:rPr>
          <w:rFonts w:ascii="Times New Roman" w:eastAsia="Times New Roman" w:hAnsi="Times New Roman" w:cs="Times New Roman"/>
          <w:b/>
          <w:sz w:val="24"/>
          <w:szCs w:val="20"/>
        </w:rPr>
        <w:t xml:space="preserve"> and III</w:t>
      </w:r>
      <w:r w:rsidRPr="00F16541">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to</w:t>
      </w:r>
      <w:r w:rsidRPr="00F16541">
        <w:rPr>
          <w:rFonts w:ascii="Times New Roman" w:eastAsia="Times New Roman" w:hAnsi="Times New Roman" w:cs="Times New Roman"/>
          <w:b/>
          <w:sz w:val="24"/>
          <w:szCs w:val="20"/>
        </w:rPr>
        <w:t xml:space="preserve"> Regulation (EC) No 1333/2008 </w:t>
      </w:r>
    </w:p>
    <w:p w14:paraId="7349CCC6" w14:textId="77777777" w:rsidR="00486BD7" w:rsidRDefault="00486BD7" w:rsidP="00486BD7">
      <w:pPr>
        <w:spacing w:after="12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In accordance with Annex II, Part E, sulfur dioxide-sulfites (E 220-228) are authorised in 40 food categories. In accordance with Annex III, Part 2 and 3, sulfur dioxide-sulfites (E 220-228) may be added to food additive preparations and to food enzymes.</w:t>
      </w:r>
    </w:p>
    <w:p w14:paraId="7141BDB7" w14:textId="77777777" w:rsidR="00486BD7" w:rsidRPr="00D75604" w:rsidRDefault="00486BD7" w:rsidP="00486BD7">
      <w:pPr>
        <w:spacing w:after="120" w:line="240" w:lineRule="auto"/>
        <w:jc w:val="both"/>
        <w:rPr>
          <w:rFonts w:ascii="Times New Roman" w:hAnsi="Times New Roman" w:cs="Times New Roman"/>
          <w:sz w:val="24"/>
          <w:szCs w:val="24"/>
          <w:lang w:val="en-IE"/>
        </w:rPr>
      </w:pPr>
      <w:r>
        <w:rPr>
          <w:rFonts w:ascii="Times New Roman" w:hAnsi="Times New Roman" w:cs="Times New Roman"/>
          <w:sz w:val="24"/>
          <w:szCs w:val="24"/>
        </w:rPr>
        <w:t xml:space="preserve">For the 2022 risk assessment, EFSA considered the use levels collected at the time of the 2016 re-evaluation and the EC call for data published in 2016. However, for many food categories for which direct addition of </w:t>
      </w:r>
      <w:r>
        <w:rPr>
          <w:rFonts w:ascii="Times New Roman" w:hAnsi="Times New Roman" w:cs="Times New Roman"/>
          <w:sz w:val="24"/>
          <w:szCs w:val="24"/>
          <w:lang w:val="en-IE"/>
        </w:rPr>
        <w:t>sulfur dioxide-sulfites (E 220-228) is authorised no</w:t>
      </w:r>
      <w:r w:rsidRPr="006D3863">
        <w:rPr>
          <w:rFonts w:ascii="Times New Roman" w:hAnsi="Times New Roman" w:cs="Times New Roman"/>
          <w:sz w:val="24"/>
          <w:szCs w:val="24"/>
          <w:lang w:val="en-IE"/>
        </w:rPr>
        <w:t xml:space="preserve"> use levels were provided. </w:t>
      </w:r>
      <w:r w:rsidRPr="00D75604">
        <w:rPr>
          <w:rFonts w:ascii="Times New Roman" w:hAnsi="Times New Roman" w:cs="Times New Roman"/>
          <w:sz w:val="24"/>
          <w:szCs w:val="24"/>
          <w:lang w:val="en-IE"/>
        </w:rPr>
        <w:t>The EFSA opinion did not report use levels in accordance with Annex III.</w:t>
      </w:r>
    </w:p>
    <w:p w14:paraId="02180401" w14:textId="77777777" w:rsidR="00486BD7" w:rsidRDefault="00486BD7" w:rsidP="00486BD7">
      <w:pPr>
        <w:pStyle w:val="Default"/>
        <w:spacing w:after="120"/>
        <w:jc w:val="both"/>
        <w:rPr>
          <w:rFonts w:ascii="Times New Roman" w:hAnsi="Times New Roman" w:cs="Times New Roman"/>
          <w:spacing w:val="-2"/>
        </w:rPr>
      </w:pPr>
      <w:r>
        <w:rPr>
          <w:rFonts w:ascii="Times New Roman" w:hAnsi="Times New Roman" w:cs="Times New Roman"/>
          <w:color w:val="auto"/>
        </w:rPr>
        <w:t xml:space="preserve">In-line with the approach outlined in the call for data, it is considered that there </w:t>
      </w:r>
      <w:r>
        <w:rPr>
          <w:rFonts w:ascii="Times New Roman" w:hAnsi="Times New Roman" w:cs="Times New Roman"/>
          <w:spacing w:val="-2"/>
        </w:rPr>
        <w:t xml:space="preserve">is no interest that the use of </w:t>
      </w:r>
      <w:r>
        <w:rPr>
          <w:rFonts w:ascii="Times New Roman" w:hAnsi="Times New Roman" w:cs="Times New Roman"/>
          <w:lang w:val="en-IE"/>
        </w:rPr>
        <w:t xml:space="preserve">sulfur dioxide-sulfites (E 220-228) </w:t>
      </w:r>
      <w:r>
        <w:rPr>
          <w:rFonts w:ascii="Times New Roman" w:hAnsi="Times New Roman" w:cs="Times New Roman"/>
          <w:spacing w:val="-2"/>
        </w:rPr>
        <w:t xml:space="preserve">as food additives remains authorised for the uses for which no actual use levels have been submitted. Consequently, the authorisation for the </w:t>
      </w:r>
      <w:r>
        <w:rPr>
          <w:rFonts w:ascii="Times New Roman" w:hAnsi="Times New Roman" w:cs="Times New Roman"/>
          <w:spacing w:val="-2"/>
        </w:rPr>
        <w:lastRenderedPageBreak/>
        <w:t xml:space="preserve">use of </w:t>
      </w:r>
      <w:r>
        <w:rPr>
          <w:rFonts w:ascii="Times New Roman" w:hAnsi="Times New Roman" w:cs="Times New Roman"/>
          <w:lang w:val="en-IE"/>
        </w:rPr>
        <w:t xml:space="preserve">sulfur dioxide-sulfites (E 220-228) </w:t>
      </w:r>
      <w:r>
        <w:rPr>
          <w:rFonts w:ascii="Times New Roman" w:hAnsi="Times New Roman" w:cs="Times New Roman"/>
          <w:spacing w:val="-2"/>
        </w:rPr>
        <w:t xml:space="preserve">as food additives in these food categories/restrictions, food additive preparations and/or food enzymes will be withdrawn. </w:t>
      </w:r>
    </w:p>
    <w:p w14:paraId="6E5E4AD7" w14:textId="77777777" w:rsidR="00486BD7" w:rsidRPr="0038459D" w:rsidRDefault="00486BD7" w:rsidP="00486BD7">
      <w:pPr>
        <w:spacing w:after="120"/>
        <w:jc w:val="both"/>
        <w:rPr>
          <w:rFonts w:ascii="Times New Roman" w:eastAsia="Calibri" w:hAnsi="Times New Roman" w:cs="Times New Roman"/>
          <w:color w:val="000000"/>
          <w:sz w:val="24"/>
          <w:szCs w:val="24"/>
          <w:lang w:val="en-IE" w:eastAsia="en-GB"/>
        </w:rPr>
      </w:pPr>
    </w:p>
    <w:p w14:paraId="326A07F4" w14:textId="77777777" w:rsidR="00486BD7" w:rsidRDefault="00486BD7" w:rsidP="00486BD7">
      <w:pPr>
        <w:spacing w:after="120"/>
        <w:jc w:val="both"/>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 xml:space="preserve">List of food categories and their restrictions for which no actual use levels were reported by business operators under the re-evaluation and follow-up to the re-evaluation: </w:t>
      </w:r>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1007"/>
        <w:gridCol w:w="2610"/>
        <w:gridCol w:w="5563"/>
      </w:tblGrid>
      <w:tr w:rsidR="00486BD7" w:rsidRPr="00F356E9" w14:paraId="72CBF33D" w14:textId="77777777" w:rsidTr="00183C3C">
        <w:trPr>
          <w:cantSplit/>
          <w:trHeight w:val="765"/>
          <w:tblHeader/>
        </w:trPr>
        <w:tc>
          <w:tcPr>
            <w:tcW w:w="1007" w:type="dxa"/>
            <w:tcBorders>
              <w:top w:val="single" w:sz="12" w:space="0" w:color="auto"/>
              <w:bottom w:val="single" w:sz="12" w:space="0" w:color="auto"/>
            </w:tcBorders>
            <w:shd w:val="clear" w:color="auto" w:fill="auto"/>
            <w:vAlign w:val="center"/>
            <w:hideMark/>
          </w:tcPr>
          <w:p w14:paraId="28BFF123" w14:textId="77777777" w:rsidR="00486BD7" w:rsidRPr="001F5FFC" w:rsidRDefault="00486BD7" w:rsidP="00183C3C">
            <w:pPr>
              <w:keepLines/>
              <w:spacing w:after="0" w:line="240" w:lineRule="auto"/>
              <w:rPr>
                <w:rFonts w:ascii="Tahoma" w:hAnsi="Tahoma" w:cs="Tahoma"/>
                <w:b/>
                <w:sz w:val="18"/>
                <w:szCs w:val="18"/>
                <w:lang w:eastAsia="en-GB"/>
              </w:rPr>
            </w:pPr>
            <w:r w:rsidRPr="001F5FFC">
              <w:rPr>
                <w:rFonts w:ascii="Tahoma" w:hAnsi="Tahoma" w:cs="Tahoma"/>
                <w:b/>
                <w:sz w:val="18"/>
                <w:szCs w:val="18"/>
                <w:lang w:eastAsia="en-GB"/>
              </w:rPr>
              <w:t>Food category number</w:t>
            </w:r>
          </w:p>
        </w:tc>
        <w:tc>
          <w:tcPr>
            <w:tcW w:w="2610" w:type="dxa"/>
            <w:tcBorders>
              <w:top w:val="single" w:sz="12" w:space="0" w:color="auto"/>
              <w:bottom w:val="single" w:sz="12" w:space="0" w:color="auto"/>
            </w:tcBorders>
            <w:shd w:val="clear" w:color="auto" w:fill="auto"/>
            <w:vAlign w:val="center"/>
            <w:hideMark/>
          </w:tcPr>
          <w:p w14:paraId="669288DB" w14:textId="77777777" w:rsidR="00486BD7" w:rsidRPr="001F5FFC" w:rsidRDefault="00486BD7" w:rsidP="00183C3C">
            <w:pPr>
              <w:keepLines/>
              <w:spacing w:after="0" w:line="240" w:lineRule="auto"/>
              <w:jc w:val="both"/>
              <w:rPr>
                <w:rFonts w:ascii="Tahoma" w:hAnsi="Tahoma" w:cs="Tahoma"/>
                <w:b/>
                <w:sz w:val="18"/>
                <w:szCs w:val="18"/>
                <w:lang w:eastAsia="en-GB"/>
              </w:rPr>
            </w:pPr>
            <w:r w:rsidRPr="001F5FFC">
              <w:rPr>
                <w:rFonts w:ascii="Tahoma" w:hAnsi="Tahoma" w:cs="Tahoma"/>
                <w:b/>
                <w:sz w:val="18"/>
                <w:szCs w:val="18"/>
                <w:lang w:eastAsia="en-GB"/>
              </w:rPr>
              <w:t>Food category description</w:t>
            </w:r>
          </w:p>
        </w:tc>
        <w:tc>
          <w:tcPr>
            <w:tcW w:w="5563" w:type="dxa"/>
            <w:tcBorders>
              <w:top w:val="single" w:sz="12" w:space="0" w:color="auto"/>
              <w:bottom w:val="single" w:sz="12" w:space="0" w:color="auto"/>
            </w:tcBorders>
            <w:shd w:val="clear" w:color="auto" w:fill="auto"/>
            <w:vAlign w:val="center"/>
            <w:hideMark/>
          </w:tcPr>
          <w:p w14:paraId="1E991BCB" w14:textId="77777777" w:rsidR="00486BD7" w:rsidRPr="001F5FFC" w:rsidRDefault="00486BD7" w:rsidP="00183C3C">
            <w:pPr>
              <w:keepLines/>
              <w:spacing w:after="0" w:line="240" w:lineRule="auto"/>
              <w:rPr>
                <w:rFonts w:ascii="Tahoma" w:hAnsi="Tahoma" w:cs="Tahoma"/>
                <w:b/>
                <w:sz w:val="18"/>
                <w:szCs w:val="18"/>
                <w:lang w:eastAsia="en-GB"/>
              </w:rPr>
            </w:pPr>
            <w:r w:rsidRPr="001F5FFC">
              <w:rPr>
                <w:rFonts w:ascii="Tahoma" w:hAnsi="Tahoma" w:cs="Tahoma"/>
                <w:b/>
                <w:sz w:val="18"/>
                <w:szCs w:val="18"/>
                <w:lang w:eastAsia="en-GB"/>
              </w:rPr>
              <w:t>Restrictions/exceptions</w:t>
            </w:r>
          </w:p>
        </w:tc>
      </w:tr>
      <w:tr w:rsidR="00486BD7" w:rsidRPr="00F356E9" w14:paraId="4BA981D9" w14:textId="77777777" w:rsidTr="00183C3C">
        <w:trPr>
          <w:cantSplit/>
          <w:trHeight w:val="765"/>
        </w:trPr>
        <w:tc>
          <w:tcPr>
            <w:tcW w:w="1007" w:type="dxa"/>
            <w:vMerge w:val="restart"/>
            <w:tcBorders>
              <w:top w:val="single" w:sz="12" w:space="0" w:color="auto"/>
            </w:tcBorders>
            <w:shd w:val="clear" w:color="auto" w:fill="auto"/>
            <w:noWrap/>
            <w:vAlign w:val="center"/>
            <w:hideMark/>
          </w:tcPr>
          <w:p w14:paraId="153F69B8"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04.1.1</w:t>
            </w:r>
          </w:p>
        </w:tc>
        <w:tc>
          <w:tcPr>
            <w:tcW w:w="2610" w:type="dxa"/>
            <w:vMerge w:val="restart"/>
            <w:tcBorders>
              <w:top w:val="single" w:sz="12" w:space="0" w:color="auto"/>
            </w:tcBorders>
            <w:shd w:val="clear" w:color="auto" w:fill="auto"/>
            <w:vAlign w:val="center"/>
            <w:hideMark/>
          </w:tcPr>
          <w:p w14:paraId="3CC76361"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Entire fresh fruit and vegetables</w:t>
            </w:r>
          </w:p>
        </w:tc>
        <w:tc>
          <w:tcPr>
            <w:tcW w:w="5563" w:type="dxa"/>
            <w:tcBorders>
              <w:top w:val="single" w:sz="12" w:space="0" w:color="auto"/>
            </w:tcBorders>
            <w:shd w:val="clear" w:color="auto" w:fill="auto"/>
            <w:vAlign w:val="center"/>
            <w:hideMark/>
          </w:tcPr>
          <w:p w14:paraId="483C482B" w14:textId="77777777" w:rsidR="00486BD7" w:rsidRPr="001F5FFC" w:rsidRDefault="00486BD7" w:rsidP="00183C3C">
            <w:pPr>
              <w:keepLines/>
              <w:spacing w:after="0" w:line="240" w:lineRule="auto"/>
              <w:rPr>
                <w:rFonts w:ascii="Tahoma" w:hAnsi="Tahoma" w:cs="Tahoma"/>
                <w:color w:val="000000"/>
                <w:sz w:val="18"/>
                <w:szCs w:val="18"/>
                <w:lang w:eastAsia="en-GB"/>
              </w:rPr>
            </w:pPr>
            <w:r w:rsidRPr="2F88E2F4">
              <w:rPr>
                <w:rFonts w:ascii="Tahoma" w:hAnsi="Tahoma" w:cs="Tahoma"/>
                <w:color w:val="000000" w:themeColor="text1"/>
                <w:sz w:val="18"/>
                <w:szCs w:val="18"/>
                <w:lang w:eastAsia="en-GB"/>
              </w:rPr>
              <w:t>Only table grapes, fresh lychees (measured on edible parts) and blueberries (</w:t>
            </w:r>
            <w:r w:rsidRPr="2F88E2F4">
              <w:rPr>
                <w:rFonts w:ascii="Tahoma" w:hAnsi="Tahoma" w:cs="Tahoma"/>
                <w:i/>
                <w:color w:val="000000" w:themeColor="text1"/>
                <w:sz w:val="18"/>
                <w:szCs w:val="18"/>
                <w:lang w:eastAsia="en-GB"/>
              </w:rPr>
              <w:t xml:space="preserve">Vaccinium </w:t>
            </w:r>
            <w:proofErr w:type="spellStart"/>
            <w:r w:rsidRPr="2F88E2F4">
              <w:rPr>
                <w:rFonts w:ascii="Tahoma" w:hAnsi="Tahoma" w:cs="Tahoma"/>
                <w:i/>
                <w:color w:val="000000" w:themeColor="text1"/>
                <w:sz w:val="18"/>
                <w:szCs w:val="18"/>
                <w:lang w:eastAsia="en-GB"/>
              </w:rPr>
              <w:t>corymbosum</w:t>
            </w:r>
            <w:proofErr w:type="spellEnd"/>
            <w:r w:rsidRPr="2F88E2F4">
              <w:rPr>
                <w:rFonts w:ascii="Tahoma" w:hAnsi="Tahoma" w:cs="Tahoma"/>
                <w:color w:val="000000" w:themeColor="text1"/>
                <w:sz w:val="18"/>
                <w:szCs w:val="18"/>
                <w:lang w:eastAsia="en-GB"/>
              </w:rPr>
              <w:t>)</w:t>
            </w:r>
          </w:p>
        </w:tc>
      </w:tr>
      <w:tr w:rsidR="00486BD7" w:rsidRPr="00F356E9" w14:paraId="458192E2" w14:textId="77777777" w:rsidTr="00183C3C">
        <w:trPr>
          <w:cantSplit/>
          <w:trHeight w:val="255"/>
        </w:trPr>
        <w:tc>
          <w:tcPr>
            <w:tcW w:w="1007" w:type="dxa"/>
            <w:vMerge/>
            <w:vAlign w:val="center"/>
            <w:hideMark/>
          </w:tcPr>
          <w:p w14:paraId="40E72EB5"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7FF7BD87"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5E2ED3D6"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w:t>
            </w:r>
            <w:proofErr w:type="gramStart"/>
            <w:r w:rsidRPr="001F5FFC">
              <w:rPr>
                <w:rFonts w:ascii="Tahoma" w:hAnsi="Tahoma" w:cs="Tahoma"/>
                <w:color w:val="000000"/>
                <w:sz w:val="18"/>
                <w:szCs w:val="18"/>
                <w:lang w:eastAsia="en-GB"/>
              </w:rPr>
              <w:t>vacuum packed</w:t>
            </w:r>
            <w:proofErr w:type="gramEnd"/>
            <w:r w:rsidRPr="001F5FFC">
              <w:rPr>
                <w:rFonts w:ascii="Tahoma" w:hAnsi="Tahoma" w:cs="Tahoma"/>
                <w:color w:val="000000"/>
                <w:sz w:val="18"/>
                <w:szCs w:val="18"/>
                <w:lang w:eastAsia="en-GB"/>
              </w:rPr>
              <w:t xml:space="preserve"> sweetcorn</w:t>
            </w:r>
          </w:p>
        </w:tc>
      </w:tr>
      <w:tr w:rsidR="00486BD7" w:rsidRPr="00F356E9" w14:paraId="30BA4AD2" w14:textId="77777777" w:rsidTr="00183C3C">
        <w:trPr>
          <w:cantSplit/>
          <w:trHeight w:val="255"/>
        </w:trPr>
        <w:tc>
          <w:tcPr>
            <w:tcW w:w="1007" w:type="dxa"/>
            <w:vMerge w:val="restart"/>
            <w:shd w:val="clear" w:color="auto" w:fill="auto"/>
            <w:noWrap/>
            <w:vAlign w:val="center"/>
            <w:hideMark/>
          </w:tcPr>
          <w:p w14:paraId="16ECAF49"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04.1.2</w:t>
            </w:r>
          </w:p>
        </w:tc>
        <w:tc>
          <w:tcPr>
            <w:tcW w:w="2610" w:type="dxa"/>
            <w:vMerge w:val="restart"/>
            <w:shd w:val="clear" w:color="auto" w:fill="auto"/>
            <w:vAlign w:val="center"/>
            <w:hideMark/>
          </w:tcPr>
          <w:p w14:paraId="110D4C6E"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 xml:space="preserve">Peeled, </w:t>
            </w:r>
            <w:proofErr w:type="gramStart"/>
            <w:r w:rsidRPr="001F5FFC">
              <w:rPr>
                <w:rFonts w:ascii="Tahoma" w:hAnsi="Tahoma" w:cs="Tahoma"/>
                <w:color w:val="000000"/>
                <w:sz w:val="18"/>
                <w:szCs w:val="18"/>
                <w:lang w:eastAsia="en-GB"/>
              </w:rPr>
              <w:t>cut</w:t>
            </w:r>
            <w:proofErr w:type="gramEnd"/>
            <w:r w:rsidRPr="001F5FFC">
              <w:rPr>
                <w:rFonts w:ascii="Tahoma" w:hAnsi="Tahoma" w:cs="Tahoma"/>
                <w:color w:val="000000"/>
                <w:sz w:val="18"/>
                <w:szCs w:val="18"/>
                <w:lang w:eastAsia="en-GB"/>
              </w:rPr>
              <w:t xml:space="preserve"> and shredded fruit and vegetables</w:t>
            </w:r>
          </w:p>
        </w:tc>
        <w:tc>
          <w:tcPr>
            <w:tcW w:w="5563" w:type="dxa"/>
            <w:shd w:val="clear" w:color="auto" w:fill="auto"/>
            <w:vAlign w:val="center"/>
            <w:hideMark/>
          </w:tcPr>
          <w:p w14:paraId="4639C152"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peeled potatoes</w:t>
            </w:r>
          </w:p>
        </w:tc>
      </w:tr>
      <w:tr w:rsidR="00486BD7" w:rsidRPr="00F356E9" w14:paraId="5A792331" w14:textId="77777777" w:rsidTr="00183C3C">
        <w:trPr>
          <w:cantSplit/>
          <w:trHeight w:val="255"/>
        </w:trPr>
        <w:tc>
          <w:tcPr>
            <w:tcW w:w="1007" w:type="dxa"/>
            <w:vMerge/>
            <w:vAlign w:val="center"/>
            <w:hideMark/>
          </w:tcPr>
          <w:p w14:paraId="75D52092"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0C4F696B"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5D8BE265"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onion, </w:t>
            </w:r>
            <w:proofErr w:type="gramStart"/>
            <w:r w:rsidRPr="001F5FFC">
              <w:rPr>
                <w:rFonts w:ascii="Tahoma" w:hAnsi="Tahoma" w:cs="Tahoma"/>
                <w:color w:val="000000"/>
                <w:sz w:val="18"/>
                <w:szCs w:val="18"/>
                <w:lang w:eastAsia="en-GB"/>
              </w:rPr>
              <w:t>garlic</w:t>
            </w:r>
            <w:proofErr w:type="gramEnd"/>
            <w:r w:rsidRPr="001F5FFC">
              <w:rPr>
                <w:rFonts w:ascii="Tahoma" w:hAnsi="Tahoma" w:cs="Tahoma"/>
                <w:color w:val="000000"/>
                <w:sz w:val="18"/>
                <w:szCs w:val="18"/>
                <w:lang w:eastAsia="en-GB"/>
              </w:rPr>
              <w:t xml:space="preserve"> and shallot pulp</w:t>
            </w:r>
          </w:p>
        </w:tc>
      </w:tr>
      <w:tr w:rsidR="00486BD7" w:rsidRPr="00F356E9" w14:paraId="6A7458D4" w14:textId="77777777" w:rsidTr="00183C3C">
        <w:trPr>
          <w:cantSplit/>
          <w:trHeight w:val="255"/>
        </w:trPr>
        <w:tc>
          <w:tcPr>
            <w:tcW w:w="1007" w:type="dxa"/>
            <w:vMerge/>
            <w:vAlign w:val="center"/>
            <w:hideMark/>
          </w:tcPr>
          <w:p w14:paraId="7447FB38"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087D8D2E"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539DDEAC"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horseradish pulp</w:t>
            </w:r>
          </w:p>
        </w:tc>
      </w:tr>
      <w:tr w:rsidR="00486BD7" w:rsidRPr="00F356E9" w14:paraId="729CE999" w14:textId="77777777" w:rsidTr="00183C3C">
        <w:trPr>
          <w:cantSplit/>
          <w:trHeight w:val="510"/>
        </w:trPr>
        <w:tc>
          <w:tcPr>
            <w:tcW w:w="1007" w:type="dxa"/>
            <w:vMerge w:val="restart"/>
            <w:shd w:val="clear" w:color="auto" w:fill="auto"/>
            <w:noWrap/>
            <w:vAlign w:val="center"/>
            <w:hideMark/>
          </w:tcPr>
          <w:p w14:paraId="0C80AFE2"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04.1.3</w:t>
            </w:r>
          </w:p>
        </w:tc>
        <w:tc>
          <w:tcPr>
            <w:tcW w:w="2610" w:type="dxa"/>
            <w:vMerge w:val="restart"/>
            <w:shd w:val="clear" w:color="auto" w:fill="auto"/>
            <w:vAlign w:val="center"/>
            <w:hideMark/>
          </w:tcPr>
          <w:p w14:paraId="3FE83609"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Frozen fruit and vegetables</w:t>
            </w:r>
          </w:p>
        </w:tc>
        <w:tc>
          <w:tcPr>
            <w:tcW w:w="5563" w:type="dxa"/>
            <w:shd w:val="clear" w:color="auto" w:fill="auto"/>
            <w:vAlign w:val="center"/>
            <w:hideMark/>
          </w:tcPr>
          <w:p w14:paraId="4A6DD54E"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white vegetables including mushrooms and white pulses</w:t>
            </w:r>
          </w:p>
        </w:tc>
      </w:tr>
      <w:tr w:rsidR="00486BD7" w:rsidRPr="00F356E9" w14:paraId="6C442893" w14:textId="77777777" w:rsidTr="00183C3C">
        <w:trPr>
          <w:cantSplit/>
          <w:trHeight w:val="255"/>
        </w:trPr>
        <w:tc>
          <w:tcPr>
            <w:tcW w:w="1007" w:type="dxa"/>
            <w:vMerge/>
            <w:vAlign w:val="center"/>
            <w:hideMark/>
          </w:tcPr>
          <w:p w14:paraId="08BA91BD"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7875BC93"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57D04717"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frozen and deep-frozen potatoes</w:t>
            </w:r>
          </w:p>
        </w:tc>
      </w:tr>
      <w:tr w:rsidR="00486BD7" w:rsidRPr="00F356E9" w14:paraId="76D05DE7" w14:textId="77777777" w:rsidTr="00183C3C">
        <w:trPr>
          <w:cantSplit/>
          <w:trHeight w:val="255"/>
        </w:trPr>
        <w:tc>
          <w:tcPr>
            <w:tcW w:w="1007" w:type="dxa"/>
            <w:vMerge w:val="restart"/>
            <w:shd w:val="clear" w:color="auto" w:fill="auto"/>
            <w:noWrap/>
            <w:vAlign w:val="center"/>
            <w:hideMark/>
          </w:tcPr>
          <w:p w14:paraId="0DD58CD6"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04.2.1</w:t>
            </w:r>
          </w:p>
        </w:tc>
        <w:tc>
          <w:tcPr>
            <w:tcW w:w="2610" w:type="dxa"/>
            <w:vMerge w:val="restart"/>
            <w:shd w:val="clear" w:color="auto" w:fill="auto"/>
            <w:vAlign w:val="center"/>
            <w:hideMark/>
          </w:tcPr>
          <w:p w14:paraId="5488A3EA"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 xml:space="preserve"> Dried fruit and vegetables</w:t>
            </w:r>
          </w:p>
        </w:tc>
        <w:tc>
          <w:tcPr>
            <w:tcW w:w="5563" w:type="dxa"/>
            <w:shd w:val="clear" w:color="auto" w:fill="auto"/>
            <w:vAlign w:val="center"/>
            <w:hideMark/>
          </w:tcPr>
          <w:p w14:paraId="19052E5D"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dried coconut</w:t>
            </w:r>
          </w:p>
        </w:tc>
      </w:tr>
      <w:tr w:rsidR="00486BD7" w:rsidRPr="00F356E9" w14:paraId="212B4C47" w14:textId="77777777" w:rsidTr="00183C3C">
        <w:trPr>
          <w:cantSplit/>
          <w:trHeight w:val="510"/>
        </w:trPr>
        <w:tc>
          <w:tcPr>
            <w:tcW w:w="1007" w:type="dxa"/>
            <w:vMerge/>
            <w:vAlign w:val="center"/>
            <w:hideMark/>
          </w:tcPr>
          <w:p w14:paraId="32AF68FF"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0E5BBEB4"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70AFBE7A"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white vegetables, processed, including pulses</w:t>
            </w:r>
          </w:p>
        </w:tc>
      </w:tr>
      <w:tr w:rsidR="00486BD7" w:rsidRPr="00F356E9" w14:paraId="017A673C" w14:textId="77777777" w:rsidTr="00183C3C">
        <w:trPr>
          <w:cantSplit/>
          <w:trHeight w:val="255"/>
        </w:trPr>
        <w:tc>
          <w:tcPr>
            <w:tcW w:w="1007" w:type="dxa"/>
            <w:vMerge/>
            <w:vAlign w:val="center"/>
            <w:hideMark/>
          </w:tcPr>
          <w:p w14:paraId="151A004F"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218A993D"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5D257806"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dried mushrooms</w:t>
            </w:r>
          </w:p>
        </w:tc>
      </w:tr>
      <w:tr w:rsidR="00486BD7" w:rsidRPr="00F356E9" w14:paraId="4D02C1E6" w14:textId="77777777" w:rsidTr="00183C3C">
        <w:trPr>
          <w:cantSplit/>
          <w:trHeight w:val="255"/>
        </w:trPr>
        <w:tc>
          <w:tcPr>
            <w:tcW w:w="1007" w:type="dxa"/>
            <w:vMerge/>
            <w:vAlign w:val="center"/>
            <w:hideMark/>
          </w:tcPr>
          <w:p w14:paraId="4FD70F3C"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0870519C"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57F78053"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dried ginger</w:t>
            </w:r>
          </w:p>
        </w:tc>
      </w:tr>
      <w:tr w:rsidR="00486BD7" w:rsidRPr="00F356E9" w14:paraId="61C86D15" w14:textId="77777777" w:rsidTr="00183C3C">
        <w:trPr>
          <w:cantSplit/>
          <w:trHeight w:val="255"/>
        </w:trPr>
        <w:tc>
          <w:tcPr>
            <w:tcW w:w="1007" w:type="dxa"/>
            <w:vMerge/>
            <w:vAlign w:val="center"/>
            <w:hideMark/>
          </w:tcPr>
          <w:p w14:paraId="7DD574E9"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00F2FF1E"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0531C7BE"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dried tomatoes</w:t>
            </w:r>
          </w:p>
        </w:tc>
      </w:tr>
      <w:tr w:rsidR="00486BD7" w:rsidRPr="00F356E9" w14:paraId="2840C11D" w14:textId="77777777" w:rsidTr="00183C3C">
        <w:trPr>
          <w:cantSplit/>
          <w:trHeight w:val="255"/>
        </w:trPr>
        <w:tc>
          <w:tcPr>
            <w:tcW w:w="1007" w:type="dxa"/>
            <w:vMerge/>
            <w:vAlign w:val="center"/>
            <w:hideMark/>
          </w:tcPr>
          <w:p w14:paraId="610DB8A5"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66716FC0"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28D9027A"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white vegetables, dried</w:t>
            </w:r>
          </w:p>
        </w:tc>
      </w:tr>
      <w:tr w:rsidR="00486BD7" w:rsidRPr="00F356E9" w14:paraId="2EACD6F7" w14:textId="77777777" w:rsidTr="00183C3C">
        <w:trPr>
          <w:cantSplit/>
          <w:trHeight w:val="765"/>
        </w:trPr>
        <w:tc>
          <w:tcPr>
            <w:tcW w:w="1007" w:type="dxa"/>
            <w:vMerge/>
            <w:vAlign w:val="center"/>
            <w:hideMark/>
          </w:tcPr>
          <w:p w14:paraId="573D3140"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61975B89"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069F7735"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dried fruit and nuts in shell, excluding dried apples, pears, bananas, apricots, peaches, grapes, </w:t>
            </w:r>
            <w:proofErr w:type="gramStart"/>
            <w:r w:rsidRPr="001F5FFC">
              <w:rPr>
                <w:rFonts w:ascii="Tahoma" w:hAnsi="Tahoma" w:cs="Tahoma"/>
                <w:color w:val="000000"/>
                <w:sz w:val="18"/>
                <w:szCs w:val="18"/>
                <w:lang w:eastAsia="en-GB"/>
              </w:rPr>
              <w:t>prunes</w:t>
            </w:r>
            <w:proofErr w:type="gramEnd"/>
            <w:r w:rsidRPr="001F5FFC">
              <w:rPr>
                <w:rFonts w:ascii="Tahoma" w:hAnsi="Tahoma" w:cs="Tahoma"/>
                <w:color w:val="000000"/>
                <w:sz w:val="18"/>
                <w:szCs w:val="18"/>
                <w:lang w:eastAsia="en-GB"/>
              </w:rPr>
              <w:t xml:space="preserve"> and figs</w:t>
            </w:r>
          </w:p>
        </w:tc>
      </w:tr>
      <w:tr w:rsidR="00486BD7" w:rsidRPr="00F356E9" w14:paraId="1ED8C532" w14:textId="77777777" w:rsidTr="00183C3C">
        <w:trPr>
          <w:cantSplit/>
          <w:trHeight w:val="255"/>
        </w:trPr>
        <w:tc>
          <w:tcPr>
            <w:tcW w:w="1007" w:type="dxa"/>
            <w:vMerge/>
            <w:vAlign w:val="center"/>
            <w:hideMark/>
          </w:tcPr>
          <w:p w14:paraId="37BF89BD"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4A13E07D"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77980A87"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dried bananas</w:t>
            </w:r>
          </w:p>
        </w:tc>
      </w:tr>
      <w:tr w:rsidR="00486BD7" w:rsidRPr="00F356E9" w14:paraId="76B59AD4" w14:textId="77777777" w:rsidTr="00183C3C">
        <w:trPr>
          <w:cantSplit/>
          <w:trHeight w:val="520"/>
        </w:trPr>
        <w:tc>
          <w:tcPr>
            <w:tcW w:w="1007" w:type="dxa"/>
            <w:shd w:val="clear" w:color="auto" w:fill="auto"/>
            <w:noWrap/>
            <w:vAlign w:val="center"/>
            <w:hideMark/>
          </w:tcPr>
          <w:p w14:paraId="7D11D538"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04.2.2</w:t>
            </w:r>
          </w:p>
        </w:tc>
        <w:tc>
          <w:tcPr>
            <w:tcW w:w="2610" w:type="dxa"/>
            <w:shd w:val="clear" w:color="auto" w:fill="auto"/>
            <w:vAlign w:val="center"/>
            <w:hideMark/>
          </w:tcPr>
          <w:p w14:paraId="302DBF2E"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themeColor="text1"/>
                <w:sz w:val="18"/>
                <w:szCs w:val="18"/>
                <w:lang w:eastAsia="en-GB"/>
              </w:rPr>
              <w:t xml:space="preserve">Fruit and vegetables in vinegar, </w:t>
            </w:r>
            <w:proofErr w:type="gramStart"/>
            <w:r w:rsidRPr="00933A27">
              <w:rPr>
                <w:rFonts w:ascii="Tahoma" w:hAnsi="Tahoma" w:cs="Tahoma"/>
                <w:color w:val="000000" w:themeColor="text1"/>
                <w:sz w:val="18"/>
                <w:szCs w:val="18"/>
                <w:lang w:eastAsia="en-GB"/>
              </w:rPr>
              <w:t>oil</w:t>
            </w:r>
            <w:proofErr w:type="gramEnd"/>
            <w:r w:rsidRPr="00933A27">
              <w:rPr>
                <w:rFonts w:ascii="Tahoma" w:hAnsi="Tahoma" w:cs="Tahoma"/>
                <w:color w:val="000000" w:themeColor="text1"/>
                <w:sz w:val="18"/>
                <w:szCs w:val="18"/>
                <w:lang w:eastAsia="en-GB"/>
              </w:rPr>
              <w:t xml:space="preserve"> or brine</w:t>
            </w:r>
          </w:p>
        </w:tc>
        <w:tc>
          <w:tcPr>
            <w:tcW w:w="5563" w:type="dxa"/>
            <w:shd w:val="clear" w:color="auto" w:fill="auto"/>
            <w:vAlign w:val="center"/>
          </w:tcPr>
          <w:p w14:paraId="660C08AC" w14:textId="77777777" w:rsidR="00486BD7" w:rsidRPr="00CF3705" w:rsidRDefault="00486BD7" w:rsidP="00183C3C">
            <w:pPr>
              <w:keepLines/>
              <w:spacing w:after="0" w:line="240" w:lineRule="auto"/>
              <w:rPr>
                <w:rFonts w:ascii="Tahoma" w:hAnsi="Tahoma" w:cs="Tahoma"/>
                <w:color w:val="000000"/>
                <w:sz w:val="18"/>
                <w:szCs w:val="18"/>
                <w:highlight w:val="yellow"/>
                <w:lang w:eastAsia="en-GB"/>
              </w:rPr>
            </w:pPr>
            <w:r w:rsidRPr="001F5FFC">
              <w:rPr>
                <w:rFonts w:ascii="Tahoma" w:hAnsi="Tahoma" w:cs="Tahoma"/>
                <w:color w:val="000000"/>
                <w:sz w:val="18"/>
                <w:szCs w:val="18"/>
                <w:lang w:eastAsia="en-GB"/>
              </w:rPr>
              <w:t>Only golden peppers in brine</w:t>
            </w:r>
          </w:p>
        </w:tc>
      </w:tr>
      <w:tr w:rsidR="00486BD7" w:rsidRPr="00F356E9" w14:paraId="63B8357E" w14:textId="77777777" w:rsidTr="00183C3C">
        <w:trPr>
          <w:cantSplit/>
          <w:trHeight w:val="255"/>
        </w:trPr>
        <w:tc>
          <w:tcPr>
            <w:tcW w:w="1007" w:type="dxa"/>
            <w:vMerge w:val="restart"/>
            <w:shd w:val="clear" w:color="auto" w:fill="auto"/>
            <w:noWrap/>
            <w:vAlign w:val="center"/>
            <w:hideMark/>
          </w:tcPr>
          <w:p w14:paraId="3001A9E2"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04.2.3</w:t>
            </w:r>
          </w:p>
        </w:tc>
        <w:tc>
          <w:tcPr>
            <w:tcW w:w="2610" w:type="dxa"/>
            <w:vMerge w:val="restart"/>
            <w:shd w:val="clear" w:color="auto" w:fill="auto"/>
            <w:vAlign w:val="center"/>
            <w:hideMark/>
          </w:tcPr>
          <w:p w14:paraId="4ADF081C"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Canned or bottled fruit and vegetables</w:t>
            </w:r>
          </w:p>
        </w:tc>
        <w:tc>
          <w:tcPr>
            <w:tcW w:w="5563" w:type="dxa"/>
            <w:shd w:val="clear" w:color="auto" w:fill="auto"/>
            <w:vAlign w:val="center"/>
            <w:hideMark/>
          </w:tcPr>
          <w:p w14:paraId="6946FF2C"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white vegetables, including pulses and processed mushrooms</w:t>
            </w:r>
          </w:p>
        </w:tc>
      </w:tr>
      <w:tr w:rsidR="00486BD7" w:rsidRPr="00F356E9" w14:paraId="2FCD00D8" w14:textId="77777777" w:rsidTr="00183C3C">
        <w:trPr>
          <w:cantSplit/>
          <w:trHeight w:val="510"/>
        </w:trPr>
        <w:tc>
          <w:tcPr>
            <w:tcW w:w="1007" w:type="dxa"/>
            <w:vMerge/>
            <w:vAlign w:val="center"/>
            <w:hideMark/>
          </w:tcPr>
          <w:p w14:paraId="2CE8FBF1"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011605E0"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44EC1421"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bottled whiteheart cherries; vacuum packed sweetcorn</w:t>
            </w:r>
          </w:p>
        </w:tc>
      </w:tr>
      <w:tr w:rsidR="00486BD7" w:rsidRPr="00F356E9" w14:paraId="37903400" w14:textId="77777777" w:rsidTr="00183C3C">
        <w:trPr>
          <w:cantSplit/>
          <w:trHeight w:val="255"/>
        </w:trPr>
        <w:tc>
          <w:tcPr>
            <w:tcW w:w="1007" w:type="dxa"/>
            <w:vMerge w:val="restart"/>
            <w:shd w:val="clear" w:color="auto" w:fill="auto"/>
            <w:noWrap/>
            <w:vAlign w:val="center"/>
            <w:hideMark/>
          </w:tcPr>
          <w:p w14:paraId="66A62F04"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04.2.4.1</w:t>
            </w:r>
          </w:p>
        </w:tc>
        <w:tc>
          <w:tcPr>
            <w:tcW w:w="2610" w:type="dxa"/>
            <w:vMerge w:val="restart"/>
            <w:shd w:val="clear" w:color="auto" w:fill="auto"/>
            <w:vAlign w:val="center"/>
            <w:hideMark/>
          </w:tcPr>
          <w:p w14:paraId="10669069"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Fruit and vegetable preparations excluding compote</w:t>
            </w:r>
          </w:p>
        </w:tc>
        <w:tc>
          <w:tcPr>
            <w:tcW w:w="5563" w:type="dxa"/>
            <w:shd w:val="clear" w:color="auto" w:fill="auto"/>
            <w:vAlign w:val="center"/>
            <w:hideMark/>
          </w:tcPr>
          <w:p w14:paraId="49BECB75"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processed white vegetables and mushrooms</w:t>
            </w:r>
          </w:p>
        </w:tc>
      </w:tr>
      <w:tr w:rsidR="00486BD7" w:rsidRPr="00F356E9" w14:paraId="03DB6A6D" w14:textId="77777777" w:rsidTr="00183C3C">
        <w:trPr>
          <w:cantSplit/>
          <w:trHeight w:val="510"/>
        </w:trPr>
        <w:tc>
          <w:tcPr>
            <w:tcW w:w="1007" w:type="dxa"/>
            <w:vMerge/>
            <w:vAlign w:val="center"/>
            <w:hideMark/>
          </w:tcPr>
          <w:p w14:paraId="3227BE71"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39C1B1BE"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56CCA4CF" w14:textId="77777777" w:rsidR="00486BD7" w:rsidRPr="001F5FFC" w:rsidRDefault="00486BD7" w:rsidP="00183C3C">
            <w:pPr>
              <w:keepLines/>
              <w:spacing w:after="0" w:line="240" w:lineRule="auto"/>
              <w:rPr>
                <w:rFonts w:ascii="Tahoma" w:hAnsi="Tahoma" w:cs="Tahoma"/>
                <w:color w:val="000000"/>
                <w:sz w:val="18"/>
                <w:szCs w:val="18"/>
                <w:lang w:eastAsia="en-GB"/>
              </w:rPr>
            </w:pPr>
            <w:r w:rsidRPr="3B983713">
              <w:rPr>
                <w:rFonts w:ascii="Tahoma" w:hAnsi="Tahoma" w:cs="Tahoma"/>
                <w:color w:val="000000" w:themeColor="text1"/>
                <w:sz w:val="18"/>
                <w:szCs w:val="18"/>
                <w:lang w:eastAsia="en-GB"/>
              </w:rPr>
              <w:t>Only</w:t>
            </w:r>
            <w:r w:rsidRPr="5F4CFEF2">
              <w:rPr>
                <w:rFonts w:ascii="Tahoma" w:hAnsi="Tahoma" w:cs="Tahoma"/>
                <w:color w:val="000000" w:themeColor="text1"/>
                <w:sz w:val="18"/>
                <w:szCs w:val="18"/>
                <w:lang w:eastAsia="en-GB"/>
              </w:rPr>
              <w:t xml:space="preserve"> rehydrated dried fruit and lychees, </w:t>
            </w:r>
            <w:proofErr w:type="spellStart"/>
            <w:r w:rsidRPr="5F4CFEF2">
              <w:rPr>
                <w:rFonts w:ascii="Tahoma" w:hAnsi="Tahoma" w:cs="Tahoma"/>
                <w:color w:val="000000" w:themeColor="text1"/>
                <w:sz w:val="18"/>
                <w:szCs w:val="18"/>
                <w:lang w:eastAsia="en-GB"/>
              </w:rPr>
              <w:t>mostarda</w:t>
            </w:r>
            <w:proofErr w:type="spellEnd"/>
            <w:r w:rsidRPr="5F4CFEF2">
              <w:rPr>
                <w:rFonts w:ascii="Tahoma" w:hAnsi="Tahoma" w:cs="Tahoma"/>
                <w:color w:val="000000" w:themeColor="text1"/>
                <w:sz w:val="18"/>
                <w:szCs w:val="18"/>
                <w:lang w:eastAsia="en-GB"/>
              </w:rPr>
              <w:t xml:space="preserve"> di </w:t>
            </w:r>
            <w:proofErr w:type="spellStart"/>
            <w:r w:rsidRPr="5F4CFEF2">
              <w:rPr>
                <w:rFonts w:ascii="Tahoma" w:hAnsi="Tahoma" w:cs="Tahoma"/>
                <w:color w:val="000000" w:themeColor="text1"/>
                <w:sz w:val="18"/>
                <w:szCs w:val="18"/>
                <w:lang w:eastAsia="en-GB"/>
              </w:rPr>
              <w:t>frutta</w:t>
            </w:r>
            <w:proofErr w:type="spellEnd"/>
          </w:p>
        </w:tc>
      </w:tr>
      <w:tr w:rsidR="00486BD7" w:rsidRPr="00F356E9" w14:paraId="6DC5806D" w14:textId="77777777" w:rsidTr="00183C3C">
        <w:trPr>
          <w:cantSplit/>
          <w:trHeight w:val="255"/>
        </w:trPr>
        <w:tc>
          <w:tcPr>
            <w:tcW w:w="1007" w:type="dxa"/>
            <w:vMerge/>
            <w:vAlign w:val="center"/>
            <w:hideMark/>
          </w:tcPr>
          <w:p w14:paraId="138E872E"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5DE4B04C"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294C437B"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onion, </w:t>
            </w:r>
            <w:proofErr w:type="gramStart"/>
            <w:r w:rsidRPr="001F5FFC">
              <w:rPr>
                <w:rFonts w:ascii="Tahoma" w:hAnsi="Tahoma" w:cs="Tahoma"/>
                <w:color w:val="000000"/>
                <w:sz w:val="18"/>
                <w:szCs w:val="18"/>
                <w:lang w:eastAsia="en-GB"/>
              </w:rPr>
              <w:t>garlic</w:t>
            </w:r>
            <w:proofErr w:type="gramEnd"/>
            <w:r w:rsidRPr="001F5FFC">
              <w:rPr>
                <w:rFonts w:ascii="Tahoma" w:hAnsi="Tahoma" w:cs="Tahoma"/>
                <w:color w:val="000000"/>
                <w:sz w:val="18"/>
                <w:szCs w:val="18"/>
                <w:lang w:eastAsia="en-GB"/>
              </w:rPr>
              <w:t xml:space="preserve"> and shallot pulp</w:t>
            </w:r>
          </w:p>
        </w:tc>
      </w:tr>
      <w:tr w:rsidR="00486BD7" w:rsidRPr="00F356E9" w14:paraId="3523BCDB" w14:textId="77777777" w:rsidTr="00183C3C">
        <w:trPr>
          <w:cantSplit/>
          <w:trHeight w:val="510"/>
        </w:trPr>
        <w:tc>
          <w:tcPr>
            <w:tcW w:w="1007" w:type="dxa"/>
            <w:vMerge/>
            <w:vAlign w:val="center"/>
            <w:hideMark/>
          </w:tcPr>
          <w:p w14:paraId="4CDCBF05"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4B991289"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4A68E4F1"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Jellying fruit extract, liquid pectin for sale to the final consumer</w:t>
            </w:r>
          </w:p>
        </w:tc>
      </w:tr>
      <w:tr w:rsidR="00486BD7" w:rsidRPr="00F356E9" w14:paraId="61FF61C0" w14:textId="77777777" w:rsidTr="00183C3C">
        <w:trPr>
          <w:cantSplit/>
          <w:trHeight w:val="1785"/>
        </w:trPr>
        <w:tc>
          <w:tcPr>
            <w:tcW w:w="1007" w:type="dxa"/>
            <w:shd w:val="clear" w:color="auto" w:fill="auto"/>
            <w:noWrap/>
            <w:vAlign w:val="center"/>
            <w:hideMark/>
          </w:tcPr>
          <w:p w14:paraId="3710E617"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04.2.5.1</w:t>
            </w:r>
          </w:p>
        </w:tc>
        <w:tc>
          <w:tcPr>
            <w:tcW w:w="2610" w:type="dxa"/>
            <w:shd w:val="clear" w:color="auto" w:fill="auto"/>
            <w:vAlign w:val="center"/>
            <w:hideMark/>
          </w:tcPr>
          <w:p w14:paraId="1E57D39A"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Extra jam and extra jelly as defined by Directive 2001/113/EC</w:t>
            </w:r>
          </w:p>
        </w:tc>
        <w:tc>
          <w:tcPr>
            <w:tcW w:w="5563" w:type="dxa"/>
            <w:shd w:val="clear" w:color="auto" w:fill="auto"/>
            <w:vAlign w:val="center"/>
            <w:hideMark/>
          </w:tcPr>
          <w:p w14:paraId="2A5D8D38"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jams, jellies and </w:t>
            </w:r>
            <w:proofErr w:type="spellStart"/>
            <w:r w:rsidRPr="001F5FFC">
              <w:rPr>
                <w:rFonts w:ascii="Tahoma" w:hAnsi="Tahoma" w:cs="Tahoma"/>
                <w:i/>
                <w:color w:val="000000"/>
                <w:sz w:val="18"/>
                <w:szCs w:val="18"/>
                <w:lang w:eastAsia="en-GB"/>
              </w:rPr>
              <w:t>mermeladas</w:t>
            </w:r>
            <w:proofErr w:type="spellEnd"/>
            <w:r w:rsidRPr="001F5FFC">
              <w:rPr>
                <w:rFonts w:ascii="Tahoma" w:hAnsi="Tahoma" w:cs="Tahoma"/>
                <w:color w:val="000000"/>
                <w:sz w:val="18"/>
                <w:szCs w:val="18"/>
                <w:lang w:eastAsia="en-GB"/>
              </w:rPr>
              <w:t xml:space="preserve"> made with </w:t>
            </w:r>
            <w:proofErr w:type="spellStart"/>
            <w:r w:rsidRPr="001F5FFC">
              <w:rPr>
                <w:rFonts w:ascii="Tahoma" w:hAnsi="Tahoma" w:cs="Tahoma"/>
                <w:color w:val="000000"/>
                <w:sz w:val="18"/>
                <w:szCs w:val="18"/>
                <w:lang w:eastAsia="en-GB"/>
              </w:rPr>
              <w:t>sulfited</w:t>
            </w:r>
            <w:proofErr w:type="spellEnd"/>
            <w:r w:rsidRPr="001F5FFC">
              <w:rPr>
                <w:rFonts w:ascii="Tahoma" w:hAnsi="Tahoma" w:cs="Tahoma"/>
                <w:color w:val="000000"/>
                <w:sz w:val="18"/>
                <w:szCs w:val="18"/>
                <w:lang w:eastAsia="en-GB"/>
              </w:rPr>
              <w:t xml:space="preserve"> fruit</w:t>
            </w:r>
          </w:p>
        </w:tc>
      </w:tr>
      <w:tr w:rsidR="00486BD7" w:rsidRPr="00F356E9" w14:paraId="6887E989" w14:textId="77777777" w:rsidTr="00183C3C">
        <w:trPr>
          <w:cantSplit/>
          <w:trHeight w:val="255"/>
        </w:trPr>
        <w:tc>
          <w:tcPr>
            <w:tcW w:w="1007" w:type="dxa"/>
            <w:vMerge w:val="restart"/>
            <w:shd w:val="clear" w:color="auto" w:fill="auto"/>
            <w:noWrap/>
            <w:vAlign w:val="center"/>
            <w:hideMark/>
          </w:tcPr>
          <w:p w14:paraId="1D55FCBC"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04.2.5.2</w:t>
            </w:r>
          </w:p>
        </w:tc>
        <w:tc>
          <w:tcPr>
            <w:tcW w:w="2610" w:type="dxa"/>
            <w:vMerge w:val="restart"/>
            <w:shd w:val="clear" w:color="auto" w:fill="auto"/>
            <w:vAlign w:val="center"/>
            <w:hideMark/>
          </w:tcPr>
          <w:p w14:paraId="06CD870D"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 xml:space="preserve">Jam, </w:t>
            </w:r>
            <w:proofErr w:type="gramStart"/>
            <w:r w:rsidRPr="00933A27">
              <w:rPr>
                <w:rFonts w:ascii="Tahoma" w:hAnsi="Tahoma" w:cs="Tahoma"/>
                <w:color w:val="000000"/>
                <w:sz w:val="18"/>
                <w:szCs w:val="18"/>
                <w:lang w:eastAsia="en-GB"/>
              </w:rPr>
              <w:t>jellies</w:t>
            </w:r>
            <w:proofErr w:type="gramEnd"/>
            <w:r w:rsidRPr="00933A27">
              <w:rPr>
                <w:rFonts w:ascii="Tahoma" w:hAnsi="Tahoma" w:cs="Tahoma"/>
                <w:color w:val="000000"/>
                <w:sz w:val="18"/>
                <w:szCs w:val="18"/>
                <w:lang w:eastAsia="en-GB"/>
              </w:rPr>
              <w:t xml:space="preserve"> and marmalades, and sweetened chestnut puree as defined by Directive 2001/113/EC</w:t>
            </w:r>
          </w:p>
        </w:tc>
        <w:tc>
          <w:tcPr>
            <w:tcW w:w="5563" w:type="dxa"/>
            <w:shd w:val="clear" w:color="auto" w:fill="auto"/>
            <w:vAlign w:val="center"/>
            <w:hideMark/>
          </w:tcPr>
          <w:p w14:paraId="15C2AD88" w14:textId="77777777" w:rsidR="00486BD7" w:rsidRPr="00933A27" w:rsidRDefault="00486BD7" w:rsidP="00183C3C">
            <w:pPr>
              <w:keepLines/>
              <w:spacing w:after="0" w:line="240" w:lineRule="auto"/>
              <w:rPr>
                <w:rFonts w:ascii="Tahoma" w:hAnsi="Tahoma" w:cs="Tahoma"/>
                <w:color w:val="000000"/>
                <w:sz w:val="18"/>
                <w:szCs w:val="18"/>
                <w:lang w:eastAsia="en-GB"/>
              </w:rPr>
            </w:pPr>
          </w:p>
        </w:tc>
      </w:tr>
      <w:tr w:rsidR="00486BD7" w:rsidRPr="00F356E9" w14:paraId="04D2A6CF" w14:textId="77777777" w:rsidTr="00183C3C">
        <w:trPr>
          <w:cantSplit/>
          <w:trHeight w:val="510"/>
        </w:trPr>
        <w:tc>
          <w:tcPr>
            <w:tcW w:w="1007" w:type="dxa"/>
            <w:vMerge/>
            <w:vAlign w:val="center"/>
            <w:hideMark/>
          </w:tcPr>
          <w:p w14:paraId="41171046"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2CD82FAA"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7CA94540" w14:textId="77777777" w:rsidR="00486BD7" w:rsidRPr="00933A27" w:rsidRDefault="00486BD7" w:rsidP="00183C3C">
            <w:pPr>
              <w:keepLines/>
              <w:spacing w:after="0" w:line="240" w:lineRule="auto"/>
              <w:rPr>
                <w:rFonts w:ascii="Tahoma" w:hAnsi="Tahoma" w:cs="Tahoma"/>
                <w:color w:val="000000"/>
                <w:sz w:val="18"/>
                <w:szCs w:val="18"/>
                <w:lang w:eastAsia="en-GB"/>
              </w:rPr>
            </w:pPr>
            <w:r w:rsidRPr="00933A27">
              <w:rPr>
                <w:rFonts w:ascii="Tahoma" w:hAnsi="Tahoma" w:cs="Tahoma"/>
                <w:color w:val="000000"/>
                <w:sz w:val="18"/>
                <w:szCs w:val="18"/>
                <w:lang w:eastAsia="en-GB"/>
              </w:rPr>
              <w:t xml:space="preserve">Only jams, jellies and marmalades made with </w:t>
            </w:r>
            <w:proofErr w:type="spellStart"/>
            <w:r w:rsidRPr="00933A27">
              <w:rPr>
                <w:rFonts w:ascii="Tahoma" w:hAnsi="Tahoma" w:cs="Tahoma"/>
                <w:color w:val="000000"/>
                <w:sz w:val="18"/>
                <w:szCs w:val="18"/>
                <w:lang w:eastAsia="en-GB"/>
              </w:rPr>
              <w:t>sulfited</w:t>
            </w:r>
            <w:proofErr w:type="spellEnd"/>
            <w:r w:rsidRPr="00933A27">
              <w:rPr>
                <w:rFonts w:ascii="Tahoma" w:hAnsi="Tahoma" w:cs="Tahoma"/>
                <w:color w:val="000000"/>
                <w:sz w:val="18"/>
                <w:szCs w:val="18"/>
                <w:lang w:eastAsia="en-GB"/>
              </w:rPr>
              <w:t xml:space="preserve"> fruit</w:t>
            </w:r>
          </w:p>
        </w:tc>
      </w:tr>
      <w:tr w:rsidR="00486BD7" w:rsidRPr="00F356E9" w14:paraId="6C104F7C" w14:textId="77777777" w:rsidTr="00183C3C">
        <w:trPr>
          <w:cantSplit/>
          <w:trHeight w:val="510"/>
        </w:trPr>
        <w:tc>
          <w:tcPr>
            <w:tcW w:w="1007" w:type="dxa"/>
            <w:shd w:val="clear" w:color="auto" w:fill="auto"/>
            <w:noWrap/>
            <w:vAlign w:val="center"/>
            <w:hideMark/>
          </w:tcPr>
          <w:p w14:paraId="2055FEBC"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lastRenderedPageBreak/>
              <w:t>04.2.5.3</w:t>
            </w:r>
          </w:p>
        </w:tc>
        <w:tc>
          <w:tcPr>
            <w:tcW w:w="2610" w:type="dxa"/>
            <w:shd w:val="clear" w:color="auto" w:fill="auto"/>
            <w:vAlign w:val="center"/>
            <w:hideMark/>
          </w:tcPr>
          <w:p w14:paraId="1E1A3A3B"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Other similar fruit or vegetable spreads</w:t>
            </w:r>
          </w:p>
        </w:tc>
        <w:tc>
          <w:tcPr>
            <w:tcW w:w="5563" w:type="dxa"/>
            <w:shd w:val="clear" w:color="auto" w:fill="auto"/>
            <w:vAlign w:val="center"/>
            <w:hideMark/>
          </w:tcPr>
          <w:p w14:paraId="6F38AB4B" w14:textId="77777777" w:rsidR="00486BD7" w:rsidRPr="00933A27" w:rsidRDefault="00486BD7" w:rsidP="00183C3C">
            <w:pPr>
              <w:keepLines/>
              <w:spacing w:after="0" w:line="240" w:lineRule="auto"/>
              <w:rPr>
                <w:rFonts w:ascii="Tahoma" w:hAnsi="Tahoma" w:cs="Tahoma"/>
                <w:color w:val="000000"/>
                <w:sz w:val="18"/>
                <w:szCs w:val="18"/>
                <w:lang w:eastAsia="en-GB"/>
              </w:rPr>
            </w:pPr>
          </w:p>
        </w:tc>
      </w:tr>
      <w:tr w:rsidR="00486BD7" w:rsidRPr="00F356E9" w14:paraId="78EF8D31" w14:textId="77777777" w:rsidTr="00183C3C">
        <w:trPr>
          <w:cantSplit/>
          <w:trHeight w:val="255"/>
        </w:trPr>
        <w:tc>
          <w:tcPr>
            <w:tcW w:w="1007" w:type="dxa"/>
            <w:shd w:val="clear" w:color="auto" w:fill="auto"/>
            <w:noWrap/>
            <w:vAlign w:val="center"/>
            <w:hideMark/>
          </w:tcPr>
          <w:p w14:paraId="48C62FF9"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04.2.6</w:t>
            </w:r>
          </w:p>
        </w:tc>
        <w:tc>
          <w:tcPr>
            <w:tcW w:w="2610" w:type="dxa"/>
            <w:shd w:val="clear" w:color="auto" w:fill="auto"/>
            <w:vAlign w:val="center"/>
            <w:hideMark/>
          </w:tcPr>
          <w:p w14:paraId="762B3AE5"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Processed potato products</w:t>
            </w:r>
          </w:p>
        </w:tc>
        <w:tc>
          <w:tcPr>
            <w:tcW w:w="5563" w:type="dxa"/>
            <w:shd w:val="clear" w:color="auto" w:fill="auto"/>
            <w:vAlign w:val="center"/>
            <w:hideMark/>
          </w:tcPr>
          <w:p w14:paraId="737F626B" w14:textId="77777777" w:rsidR="00486BD7" w:rsidRPr="00933A27" w:rsidRDefault="00486BD7" w:rsidP="00183C3C">
            <w:pPr>
              <w:keepLines/>
              <w:spacing w:after="0" w:line="240" w:lineRule="auto"/>
              <w:rPr>
                <w:rFonts w:ascii="Tahoma" w:hAnsi="Tahoma" w:cs="Tahoma"/>
                <w:color w:val="000000"/>
                <w:sz w:val="18"/>
                <w:szCs w:val="18"/>
                <w:lang w:eastAsia="en-GB"/>
              </w:rPr>
            </w:pPr>
          </w:p>
        </w:tc>
      </w:tr>
      <w:tr w:rsidR="00486BD7" w:rsidRPr="00F356E9" w14:paraId="5C9228B4" w14:textId="77777777" w:rsidTr="00183C3C">
        <w:trPr>
          <w:cantSplit/>
          <w:trHeight w:val="1030"/>
        </w:trPr>
        <w:tc>
          <w:tcPr>
            <w:tcW w:w="1007" w:type="dxa"/>
            <w:shd w:val="clear" w:color="auto" w:fill="auto"/>
            <w:noWrap/>
            <w:vAlign w:val="center"/>
            <w:hideMark/>
          </w:tcPr>
          <w:p w14:paraId="1908876A"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05.2</w:t>
            </w:r>
          </w:p>
        </w:tc>
        <w:tc>
          <w:tcPr>
            <w:tcW w:w="2610" w:type="dxa"/>
            <w:shd w:val="clear" w:color="auto" w:fill="auto"/>
            <w:vAlign w:val="center"/>
            <w:hideMark/>
          </w:tcPr>
          <w:p w14:paraId="773FB5A9"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 xml:space="preserve">Other confectionery including breath refreshening </w:t>
            </w:r>
            <w:proofErr w:type="spellStart"/>
            <w:r w:rsidRPr="00933A27">
              <w:rPr>
                <w:rFonts w:ascii="Tahoma" w:hAnsi="Tahoma" w:cs="Tahoma"/>
                <w:color w:val="000000"/>
                <w:sz w:val="18"/>
                <w:szCs w:val="18"/>
                <w:lang w:eastAsia="en-GB"/>
              </w:rPr>
              <w:t>microsweets</w:t>
            </w:r>
            <w:proofErr w:type="spellEnd"/>
          </w:p>
        </w:tc>
        <w:tc>
          <w:tcPr>
            <w:tcW w:w="5563" w:type="dxa"/>
            <w:shd w:val="clear" w:color="auto" w:fill="auto"/>
            <w:vAlign w:val="center"/>
          </w:tcPr>
          <w:p w14:paraId="62291186" w14:textId="77777777" w:rsidR="00486BD7" w:rsidRPr="00933A27" w:rsidRDefault="00486BD7" w:rsidP="00183C3C">
            <w:pPr>
              <w:keepLines/>
              <w:spacing w:after="0" w:line="240" w:lineRule="auto"/>
              <w:rPr>
                <w:rFonts w:ascii="Tahoma" w:hAnsi="Tahoma" w:cs="Tahoma"/>
                <w:color w:val="000000"/>
                <w:sz w:val="18"/>
                <w:szCs w:val="18"/>
                <w:lang w:eastAsia="en-GB"/>
              </w:rPr>
            </w:pPr>
            <w:r w:rsidRPr="00933A27">
              <w:rPr>
                <w:rFonts w:ascii="Tahoma" w:hAnsi="Tahoma" w:cs="Tahoma"/>
                <w:color w:val="000000"/>
                <w:sz w:val="18"/>
                <w:szCs w:val="18"/>
                <w:lang w:eastAsia="en-GB"/>
              </w:rPr>
              <w:t xml:space="preserve">Only candied, crystallised or glacé fruit, vegetables, </w:t>
            </w:r>
            <w:proofErr w:type="gramStart"/>
            <w:r w:rsidRPr="00933A27">
              <w:rPr>
                <w:rFonts w:ascii="Tahoma" w:hAnsi="Tahoma" w:cs="Tahoma"/>
                <w:color w:val="000000"/>
                <w:sz w:val="18"/>
                <w:szCs w:val="18"/>
                <w:lang w:eastAsia="en-GB"/>
              </w:rPr>
              <w:t>angelica</w:t>
            </w:r>
            <w:proofErr w:type="gramEnd"/>
            <w:r w:rsidRPr="00933A27">
              <w:rPr>
                <w:rFonts w:ascii="Tahoma" w:hAnsi="Tahoma" w:cs="Tahoma"/>
                <w:color w:val="000000"/>
                <w:sz w:val="18"/>
                <w:szCs w:val="18"/>
                <w:lang w:eastAsia="en-GB"/>
              </w:rPr>
              <w:t xml:space="preserve"> and citrus peel</w:t>
            </w:r>
          </w:p>
        </w:tc>
      </w:tr>
      <w:tr w:rsidR="00486BD7" w:rsidRPr="00F356E9" w14:paraId="36663A18" w14:textId="77777777" w:rsidTr="00183C3C">
        <w:trPr>
          <w:cantSplit/>
          <w:trHeight w:val="765"/>
        </w:trPr>
        <w:tc>
          <w:tcPr>
            <w:tcW w:w="1007" w:type="dxa"/>
            <w:vMerge w:val="restart"/>
            <w:shd w:val="clear" w:color="auto" w:fill="auto"/>
            <w:noWrap/>
            <w:vAlign w:val="center"/>
            <w:hideMark/>
          </w:tcPr>
          <w:p w14:paraId="6E307839"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05.4</w:t>
            </w:r>
          </w:p>
        </w:tc>
        <w:tc>
          <w:tcPr>
            <w:tcW w:w="2610" w:type="dxa"/>
            <w:vMerge w:val="restart"/>
            <w:shd w:val="clear" w:color="auto" w:fill="auto"/>
            <w:vAlign w:val="center"/>
            <w:hideMark/>
          </w:tcPr>
          <w:p w14:paraId="5481260E"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 xml:space="preserve">Decorations, coatings and fillings, except </w:t>
            </w:r>
            <w:proofErr w:type="gramStart"/>
            <w:r w:rsidRPr="00933A27">
              <w:rPr>
                <w:rFonts w:ascii="Tahoma" w:hAnsi="Tahoma" w:cs="Tahoma"/>
                <w:color w:val="000000"/>
                <w:sz w:val="18"/>
                <w:szCs w:val="18"/>
                <w:lang w:eastAsia="en-GB"/>
              </w:rPr>
              <w:t>fruit based</w:t>
            </w:r>
            <w:proofErr w:type="gramEnd"/>
            <w:r w:rsidRPr="00933A27">
              <w:rPr>
                <w:rFonts w:ascii="Tahoma" w:hAnsi="Tahoma" w:cs="Tahoma"/>
                <w:color w:val="000000"/>
                <w:sz w:val="18"/>
                <w:szCs w:val="18"/>
                <w:lang w:eastAsia="en-GB"/>
              </w:rPr>
              <w:t xml:space="preserve"> fillings covered by category 4.2.4</w:t>
            </w:r>
          </w:p>
        </w:tc>
        <w:tc>
          <w:tcPr>
            <w:tcW w:w="5563" w:type="dxa"/>
            <w:shd w:val="clear" w:color="auto" w:fill="auto"/>
            <w:vAlign w:val="center"/>
            <w:hideMark/>
          </w:tcPr>
          <w:p w14:paraId="799DD0F5" w14:textId="77777777" w:rsidR="00486BD7" w:rsidRPr="00933A27" w:rsidRDefault="00486BD7" w:rsidP="00183C3C">
            <w:pPr>
              <w:keepLines/>
              <w:spacing w:after="0" w:line="240" w:lineRule="auto"/>
              <w:rPr>
                <w:rFonts w:ascii="Tahoma" w:hAnsi="Tahoma" w:cs="Tahoma"/>
                <w:color w:val="000000"/>
                <w:sz w:val="18"/>
                <w:szCs w:val="18"/>
                <w:lang w:eastAsia="en-GB"/>
              </w:rPr>
            </w:pPr>
            <w:r w:rsidRPr="00933A27">
              <w:rPr>
                <w:rFonts w:ascii="Tahoma" w:hAnsi="Tahoma" w:cs="Tahoma"/>
                <w:color w:val="000000"/>
                <w:sz w:val="18"/>
                <w:szCs w:val="18"/>
                <w:lang w:eastAsia="en-GB"/>
              </w:rPr>
              <w:t>Only toppings (syrups for pancakes, flavoured syrups for milkshakes and ice cream; similar products)</w:t>
            </w:r>
          </w:p>
        </w:tc>
      </w:tr>
      <w:tr w:rsidR="00486BD7" w:rsidRPr="00F356E9" w14:paraId="21A78A65" w14:textId="77777777" w:rsidTr="00183C3C">
        <w:trPr>
          <w:cantSplit/>
          <w:trHeight w:val="510"/>
        </w:trPr>
        <w:tc>
          <w:tcPr>
            <w:tcW w:w="1007" w:type="dxa"/>
            <w:vMerge/>
            <w:vAlign w:val="center"/>
            <w:hideMark/>
          </w:tcPr>
          <w:p w14:paraId="0ACF8490"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561D339F"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39523427" w14:textId="77777777" w:rsidR="00486BD7" w:rsidRPr="00933A27" w:rsidRDefault="00486BD7" w:rsidP="00183C3C">
            <w:pPr>
              <w:keepLines/>
              <w:spacing w:after="0" w:line="240" w:lineRule="auto"/>
              <w:rPr>
                <w:rFonts w:ascii="Tahoma" w:hAnsi="Tahoma" w:cs="Tahoma"/>
                <w:color w:val="000000"/>
                <w:sz w:val="18"/>
                <w:szCs w:val="18"/>
                <w:lang w:eastAsia="en-GB"/>
              </w:rPr>
            </w:pPr>
            <w:r w:rsidRPr="00933A27">
              <w:rPr>
                <w:rFonts w:ascii="Tahoma" w:hAnsi="Tahoma" w:cs="Tahoma"/>
                <w:color w:val="000000"/>
                <w:sz w:val="18"/>
                <w:szCs w:val="18"/>
                <w:lang w:eastAsia="en-GB"/>
              </w:rPr>
              <w:t>Only glucose syrup-based confectionery (carry over from the glucose syrup only)</w:t>
            </w:r>
          </w:p>
        </w:tc>
      </w:tr>
      <w:tr w:rsidR="00486BD7" w:rsidRPr="00F356E9" w14:paraId="755E2E22" w14:textId="77777777" w:rsidTr="00183C3C">
        <w:trPr>
          <w:cantSplit/>
          <w:trHeight w:val="255"/>
        </w:trPr>
        <w:tc>
          <w:tcPr>
            <w:tcW w:w="1007" w:type="dxa"/>
            <w:vMerge/>
            <w:vAlign w:val="center"/>
            <w:hideMark/>
          </w:tcPr>
          <w:p w14:paraId="33751072"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2D04B165"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28162A36"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fruit fillings for pastries</w:t>
            </w:r>
            <w:r w:rsidRPr="001F5FFC">
              <w:rPr>
                <w:rFonts w:ascii="Tahoma" w:hAnsi="Tahoma" w:cs="Tahoma"/>
                <w:color w:val="000000"/>
                <w:sz w:val="18"/>
                <w:szCs w:val="18"/>
                <w:vertAlign w:val="superscript"/>
                <w:lang w:eastAsia="en-GB"/>
              </w:rPr>
              <w:t xml:space="preserve"> </w:t>
            </w:r>
          </w:p>
        </w:tc>
      </w:tr>
      <w:tr w:rsidR="00486BD7" w:rsidRPr="00F356E9" w14:paraId="11BB12EA" w14:textId="77777777" w:rsidTr="00183C3C">
        <w:trPr>
          <w:cantSplit/>
          <w:trHeight w:val="510"/>
        </w:trPr>
        <w:tc>
          <w:tcPr>
            <w:tcW w:w="1007" w:type="dxa"/>
            <w:shd w:val="clear" w:color="auto" w:fill="auto"/>
            <w:noWrap/>
            <w:vAlign w:val="center"/>
            <w:hideMark/>
          </w:tcPr>
          <w:p w14:paraId="391CCA5C"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06.1</w:t>
            </w:r>
          </w:p>
        </w:tc>
        <w:tc>
          <w:tcPr>
            <w:tcW w:w="2610" w:type="dxa"/>
            <w:shd w:val="clear" w:color="auto" w:fill="auto"/>
            <w:vAlign w:val="center"/>
            <w:hideMark/>
          </w:tcPr>
          <w:p w14:paraId="208BF694"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 xml:space="preserve">Whole, </w:t>
            </w:r>
            <w:proofErr w:type="gramStart"/>
            <w:r w:rsidRPr="001F5FFC">
              <w:rPr>
                <w:rFonts w:ascii="Tahoma" w:hAnsi="Tahoma" w:cs="Tahoma"/>
                <w:color w:val="000000"/>
                <w:sz w:val="18"/>
                <w:szCs w:val="18"/>
                <w:lang w:eastAsia="en-GB"/>
              </w:rPr>
              <w:t>broken</w:t>
            </w:r>
            <w:proofErr w:type="gramEnd"/>
            <w:r w:rsidRPr="001F5FFC">
              <w:rPr>
                <w:rFonts w:ascii="Tahoma" w:hAnsi="Tahoma" w:cs="Tahoma"/>
                <w:color w:val="000000"/>
                <w:sz w:val="18"/>
                <w:szCs w:val="18"/>
                <w:lang w:eastAsia="en-GB"/>
              </w:rPr>
              <w:t xml:space="preserve"> or flaked grain</w:t>
            </w:r>
          </w:p>
        </w:tc>
        <w:tc>
          <w:tcPr>
            <w:tcW w:w="5563" w:type="dxa"/>
            <w:shd w:val="clear" w:color="auto" w:fill="auto"/>
            <w:vAlign w:val="center"/>
            <w:hideMark/>
          </w:tcPr>
          <w:p w14:paraId="347F465C"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sago and pearl barley</w:t>
            </w:r>
            <w:r w:rsidRPr="001F5FFC">
              <w:rPr>
                <w:rFonts w:ascii="Tahoma" w:hAnsi="Tahoma" w:cs="Tahoma"/>
                <w:color w:val="000000"/>
                <w:sz w:val="18"/>
                <w:szCs w:val="18"/>
                <w:vertAlign w:val="superscript"/>
                <w:lang w:eastAsia="en-GB"/>
              </w:rPr>
              <w:t xml:space="preserve"> </w:t>
            </w:r>
          </w:p>
        </w:tc>
      </w:tr>
      <w:tr w:rsidR="00486BD7" w:rsidRPr="00F356E9" w14:paraId="01B1DD85" w14:textId="77777777" w:rsidTr="00183C3C">
        <w:trPr>
          <w:cantSplit/>
          <w:trHeight w:val="1020"/>
        </w:trPr>
        <w:tc>
          <w:tcPr>
            <w:tcW w:w="1007" w:type="dxa"/>
            <w:vMerge w:val="restart"/>
            <w:shd w:val="clear" w:color="auto" w:fill="auto"/>
            <w:noWrap/>
            <w:vAlign w:val="center"/>
            <w:hideMark/>
          </w:tcPr>
          <w:p w14:paraId="50D1462A"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09.1.2</w:t>
            </w:r>
          </w:p>
        </w:tc>
        <w:tc>
          <w:tcPr>
            <w:tcW w:w="2610" w:type="dxa"/>
            <w:vMerge w:val="restart"/>
            <w:shd w:val="clear" w:color="auto" w:fill="auto"/>
            <w:vAlign w:val="center"/>
            <w:hideMark/>
          </w:tcPr>
          <w:p w14:paraId="077DAB14"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Unprocessed molluscs and crustaceans</w:t>
            </w:r>
          </w:p>
        </w:tc>
        <w:tc>
          <w:tcPr>
            <w:tcW w:w="5563" w:type="dxa"/>
            <w:shd w:val="clear" w:color="auto" w:fill="auto"/>
            <w:vAlign w:val="center"/>
            <w:hideMark/>
          </w:tcPr>
          <w:p w14:paraId="7B18CE5E"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fresh, </w:t>
            </w:r>
            <w:proofErr w:type="gramStart"/>
            <w:r w:rsidRPr="001F5FFC">
              <w:rPr>
                <w:rFonts w:ascii="Tahoma" w:hAnsi="Tahoma" w:cs="Tahoma"/>
                <w:color w:val="000000"/>
                <w:sz w:val="18"/>
                <w:szCs w:val="18"/>
                <w:lang w:eastAsia="en-GB"/>
              </w:rPr>
              <w:t>frozen</w:t>
            </w:r>
            <w:proofErr w:type="gramEnd"/>
            <w:r w:rsidRPr="001F5FFC">
              <w:rPr>
                <w:rFonts w:ascii="Tahoma" w:hAnsi="Tahoma" w:cs="Tahoma"/>
                <w:color w:val="000000"/>
                <w:sz w:val="18"/>
                <w:szCs w:val="18"/>
                <w:lang w:eastAsia="en-GB"/>
              </w:rPr>
              <w:t xml:space="preserve"> and deep-frozen crustaceans and cephalopods; crustaceans of the </w:t>
            </w:r>
            <w:proofErr w:type="spellStart"/>
            <w:r w:rsidRPr="001F5FFC">
              <w:rPr>
                <w:rFonts w:ascii="Tahoma" w:hAnsi="Tahoma" w:cs="Tahoma"/>
                <w:color w:val="000000"/>
                <w:sz w:val="18"/>
                <w:szCs w:val="18"/>
                <w:lang w:eastAsia="en-GB"/>
              </w:rPr>
              <w:t>Penaeidae</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Solenoceridae</w:t>
            </w:r>
            <w:proofErr w:type="spellEnd"/>
            <w:r w:rsidRPr="001F5FFC">
              <w:rPr>
                <w:rFonts w:ascii="Tahoma" w:hAnsi="Tahoma" w:cs="Tahoma"/>
                <w:color w:val="000000"/>
                <w:sz w:val="18"/>
                <w:szCs w:val="18"/>
                <w:lang w:eastAsia="en-GB"/>
              </w:rPr>
              <w:t xml:space="preserve"> and </w:t>
            </w:r>
            <w:proofErr w:type="spellStart"/>
            <w:r w:rsidRPr="001F5FFC">
              <w:rPr>
                <w:rFonts w:ascii="Tahoma" w:hAnsi="Tahoma" w:cs="Tahoma"/>
                <w:color w:val="000000"/>
                <w:sz w:val="18"/>
                <w:szCs w:val="18"/>
                <w:lang w:eastAsia="en-GB"/>
              </w:rPr>
              <w:t>Aristaeidae</w:t>
            </w:r>
            <w:proofErr w:type="spellEnd"/>
            <w:r w:rsidRPr="001F5FFC">
              <w:rPr>
                <w:rFonts w:ascii="Tahoma" w:hAnsi="Tahoma" w:cs="Tahoma"/>
                <w:color w:val="000000"/>
                <w:sz w:val="18"/>
                <w:szCs w:val="18"/>
                <w:lang w:eastAsia="en-GB"/>
              </w:rPr>
              <w:t xml:space="preserve"> family up to 80 units</w:t>
            </w:r>
          </w:p>
        </w:tc>
      </w:tr>
      <w:tr w:rsidR="00486BD7" w:rsidRPr="00F356E9" w14:paraId="2746AF9D" w14:textId="77777777" w:rsidTr="00183C3C">
        <w:trPr>
          <w:cantSplit/>
          <w:trHeight w:val="765"/>
        </w:trPr>
        <w:tc>
          <w:tcPr>
            <w:tcW w:w="1007" w:type="dxa"/>
            <w:vMerge/>
            <w:vAlign w:val="center"/>
            <w:hideMark/>
          </w:tcPr>
          <w:p w14:paraId="1F8BE40D"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54B88B0F"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46BBA21B"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crustaceans of the </w:t>
            </w:r>
            <w:proofErr w:type="spellStart"/>
            <w:r w:rsidRPr="001F5FFC">
              <w:rPr>
                <w:rFonts w:ascii="Tahoma" w:hAnsi="Tahoma" w:cs="Tahoma"/>
                <w:color w:val="000000"/>
                <w:sz w:val="18"/>
                <w:szCs w:val="18"/>
                <w:lang w:eastAsia="en-GB"/>
              </w:rPr>
              <w:t>Penaeidae</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Solenoceridae</w:t>
            </w:r>
            <w:proofErr w:type="spellEnd"/>
            <w:r w:rsidRPr="001F5FFC">
              <w:rPr>
                <w:rFonts w:ascii="Tahoma" w:hAnsi="Tahoma" w:cs="Tahoma"/>
                <w:color w:val="000000"/>
                <w:sz w:val="18"/>
                <w:szCs w:val="18"/>
                <w:lang w:eastAsia="en-GB"/>
              </w:rPr>
              <w:t xml:space="preserve"> and </w:t>
            </w:r>
            <w:proofErr w:type="spellStart"/>
            <w:r w:rsidRPr="001F5FFC">
              <w:rPr>
                <w:rFonts w:ascii="Tahoma" w:hAnsi="Tahoma" w:cs="Tahoma"/>
                <w:color w:val="000000"/>
                <w:sz w:val="18"/>
                <w:szCs w:val="18"/>
                <w:lang w:eastAsia="en-GB"/>
              </w:rPr>
              <w:t>Aristaeidae</w:t>
            </w:r>
            <w:proofErr w:type="spellEnd"/>
            <w:r w:rsidRPr="001F5FFC">
              <w:rPr>
                <w:rFonts w:ascii="Tahoma" w:hAnsi="Tahoma" w:cs="Tahoma"/>
                <w:color w:val="000000"/>
                <w:sz w:val="18"/>
                <w:szCs w:val="18"/>
                <w:lang w:eastAsia="en-GB"/>
              </w:rPr>
              <w:t xml:space="preserve"> family between 80 and 120 units</w:t>
            </w:r>
          </w:p>
        </w:tc>
      </w:tr>
      <w:tr w:rsidR="00486BD7" w:rsidRPr="00F356E9" w14:paraId="757E8667" w14:textId="77777777" w:rsidTr="00183C3C">
        <w:trPr>
          <w:cantSplit/>
          <w:trHeight w:val="765"/>
        </w:trPr>
        <w:tc>
          <w:tcPr>
            <w:tcW w:w="1007" w:type="dxa"/>
            <w:vMerge/>
            <w:vAlign w:val="center"/>
            <w:hideMark/>
          </w:tcPr>
          <w:p w14:paraId="5DCBF0A7"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73DC0F9B"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5C4F9E73"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crustaceans of the </w:t>
            </w:r>
            <w:proofErr w:type="spellStart"/>
            <w:r w:rsidRPr="001F5FFC">
              <w:rPr>
                <w:rFonts w:ascii="Tahoma" w:hAnsi="Tahoma" w:cs="Tahoma"/>
                <w:color w:val="000000"/>
                <w:sz w:val="18"/>
                <w:szCs w:val="18"/>
                <w:lang w:eastAsia="en-GB"/>
              </w:rPr>
              <w:t>Penaeidae</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Solenoceridae</w:t>
            </w:r>
            <w:proofErr w:type="spellEnd"/>
            <w:r w:rsidRPr="001F5FFC">
              <w:rPr>
                <w:rFonts w:ascii="Tahoma" w:hAnsi="Tahoma" w:cs="Tahoma"/>
                <w:color w:val="000000"/>
                <w:sz w:val="18"/>
                <w:szCs w:val="18"/>
                <w:lang w:eastAsia="en-GB"/>
              </w:rPr>
              <w:t xml:space="preserve"> and </w:t>
            </w:r>
            <w:proofErr w:type="spellStart"/>
            <w:r w:rsidRPr="001F5FFC">
              <w:rPr>
                <w:rFonts w:ascii="Tahoma" w:hAnsi="Tahoma" w:cs="Tahoma"/>
                <w:color w:val="000000"/>
                <w:sz w:val="18"/>
                <w:szCs w:val="18"/>
                <w:lang w:eastAsia="en-GB"/>
              </w:rPr>
              <w:t>Aristaeidae</w:t>
            </w:r>
            <w:proofErr w:type="spellEnd"/>
            <w:r w:rsidRPr="001F5FFC">
              <w:rPr>
                <w:rFonts w:ascii="Tahoma" w:hAnsi="Tahoma" w:cs="Tahoma"/>
                <w:color w:val="000000"/>
                <w:sz w:val="18"/>
                <w:szCs w:val="18"/>
                <w:lang w:eastAsia="en-GB"/>
              </w:rPr>
              <w:t xml:space="preserve"> family over 120 units</w:t>
            </w:r>
          </w:p>
        </w:tc>
      </w:tr>
      <w:tr w:rsidR="00486BD7" w:rsidRPr="00F356E9" w14:paraId="1A19C59C" w14:textId="77777777" w:rsidTr="00183C3C">
        <w:trPr>
          <w:cantSplit/>
          <w:trHeight w:val="255"/>
        </w:trPr>
        <w:tc>
          <w:tcPr>
            <w:tcW w:w="1007" w:type="dxa"/>
            <w:vMerge w:val="restart"/>
            <w:shd w:val="clear" w:color="auto" w:fill="auto"/>
            <w:noWrap/>
            <w:vAlign w:val="center"/>
            <w:hideMark/>
          </w:tcPr>
          <w:p w14:paraId="11F71B73"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09.2</w:t>
            </w:r>
          </w:p>
        </w:tc>
        <w:tc>
          <w:tcPr>
            <w:tcW w:w="2610" w:type="dxa"/>
            <w:vMerge w:val="restart"/>
            <w:shd w:val="clear" w:color="auto" w:fill="auto"/>
            <w:vAlign w:val="center"/>
            <w:hideMark/>
          </w:tcPr>
          <w:p w14:paraId="4FE4D255"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Processed fish and fishery products, including molluscs and crustaceans</w:t>
            </w:r>
          </w:p>
        </w:tc>
        <w:tc>
          <w:tcPr>
            <w:tcW w:w="5563" w:type="dxa"/>
            <w:shd w:val="clear" w:color="auto" w:fill="auto"/>
            <w:vAlign w:val="center"/>
            <w:hideMark/>
          </w:tcPr>
          <w:p w14:paraId="1865F2A1"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cooked crustaceans and cephalopods</w:t>
            </w:r>
          </w:p>
        </w:tc>
      </w:tr>
      <w:tr w:rsidR="00486BD7" w:rsidRPr="00F356E9" w14:paraId="513C95FD" w14:textId="77777777" w:rsidTr="00183C3C">
        <w:trPr>
          <w:cantSplit/>
          <w:trHeight w:val="765"/>
        </w:trPr>
        <w:tc>
          <w:tcPr>
            <w:tcW w:w="1007" w:type="dxa"/>
            <w:vMerge/>
            <w:vAlign w:val="center"/>
            <w:hideMark/>
          </w:tcPr>
          <w:p w14:paraId="69BEB135"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53A13FA7"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6C13DE1B"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cooked crustaceans of the </w:t>
            </w:r>
            <w:proofErr w:type="spellStart"/>
            <w:r w:rsidRPr="001F5FFC">
              <w:rPr>
                <w:rFonts w:ascii="Tahoma" w:hAnsi="Tahoma" w:cs="Tahoma"/>
                <w:color w:val="000000"/>
                <w:sz w:val="18"/>
                <w:szCs w:val="18"/>
                <w:lang w:eastAsia="en-GB"/>
              </w:rPr>
              <w:t>Penaeidae</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Solenoceridae</w:t>
            </w:r>
            <w:proofErr w:type="spellEnd"/>
            <w:r w:rsidRPr="001F5FFC">
              <w:rPr>
                <w:rFonts w:ascii="Tahoma" w:hAnsi="Tahoma" w:cs="Tahoma"/>
                <w:color w:val="000000"/>
                <w:sz w:val="18"/>
                <w:szCs w:val="18"/>
                <w:lang w:eastAsia="en-GB"/>
              </w:rPr>
              <w:t xml:space="preserve"> and </w:t>
            </w:r>
            <w:proofErr w:type="spellStart"/>
            <w:r w:rsidRPr="001F5FFC">
              <w:rPr>
                <w:rFonts w:ascii="Tahoma" w:hAnsi="Tahoma" w:cs="Tahoma"/>
                <w:color w:val="000000"/>
                <w:sz w:val="18"/>
                <w:szCs w:val="18"/>
                <w:lang w:eastAsia="en-GB"/>
              </w:rPr>
              <w:t>Aristaeidae</w:t>
            </w:r>
            <w:proofErr w:type="spellEnd"/>
            <w:r w:rsidRPr="001F5FFC">
              <w:rPr>
                <w:rFonts w:ascii="Tahoma" w:hAnsi="Tahoma" w:cs="Tahoma"/>
                <w:color w:val="000000"/>
                <w:sz w:val="18"/>
                <w:szCs w:val="18"/>
                <w:lang w:eastAsia="en-GB"/>
              </w:rPr>
              <w:t xml:space="preserve"> family up to 80 units</w:t>
            </w:r>
          </w:p>
        </w:tc>
      </w:tr>
      <w:tr w:rsidR="00486BD7" w:rsidRPr="00F356E9" w14:paraId="3CB28459" w14:textId="77777777" w:rsidTr="00183C3C">
        <w:trPr>
          <w:cantSplit/>
          <w:trHeight w:val="765"/>
        </w:trPr>
        <w:tc>
          <w:tcPr>
            <w:tcW w:w="1007" w:type="dxa"/>
            <w:vMerge/>
            <w:vAlign w:val="center"/>
            <w:hideMark/>
          </w:tcPr>
          <w:p w14:paraId="1C52DF35"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3249B4FE"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50B14BB7"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cooked crustaceans of the </w:t>
            </w:r>
            <w:proofErr w:type="spellStart"/>
            <w:r w:rsidRPr="001F5FFC">
              <w:rPr>
                <w:rFonts w:ascii="Tahoma" w:hAnsi="Tahoma" w:cs="Tahoma"/>
                <w:color w:val="000000"/>
                <w:sz w:val="18"/>
                <w:szCs w:val="18"/>
                <w:lang w:eastAsia="en-GB"/>
              </w:rPr>
              <w:t>Penaeidae</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Solenoceridae</w:t>
            </w:r>
            <w:proofErr w:type="spellEnd"/>
            <w:r w:rsidRPr="001F5FFC">
              <w:rPr>
                <w:rFonts w:ascii="Tahoma" w:hAnsi="Tahoma" w:cs="Tahoma"/>
                <w:color w:val="000000"/>
                <w:sz w:val="18"/>
                <w:szCs w:val="18"/>
                <w:lang w:eastAsia="en-GB"/>
              </w:rPr>
              <w:t xml:space="preserve"> and </w:t>
            </w:r>
            <w:proofErr w:type="spellStart"/>
            <w:r w:rsidRPr="001F5FFC">
              <w:rPr>
                <w:rFonts w:ascii="Tahoma" w:hAnsi="Tahoma" w:cs="Tahoma"/>
                <w:color w:val="000000"/>
                <w:sz w:val="18"/>
                <w:szCs w:val="18"/>
                <w:lang w:eastAsia="en-GB"/>
              </w:rPr>
              <w:t>Aristaeidae</w:t>
            </w:r>
            <w:proofErr w:type="spellEnd"/>
            <w:r w:rsidRPr="001F5FFC">
              <w:rPr>
                <w:rFonts w:ascii="Tahoma" w:hAnsi="Tahoma" w:cs="Tahoma"/>
                <w:color w:val="000000"/>
                <w:sz w:val="18"/>
                <w:szCs w:val="18"/>
                <w:lang w:eastAsia="en-GB"/>
              </w:rPr>
              <w:t xml:space="preserve"> family between 80 and 120 units</w:t>
            </w:r>
          </w:p>
        </w:tc>
      </w:tr>
      <w:tr w:rsidR="00486BD7" w:rsidRPr="00F356E9" w14:paraId="2ECC34D9" w14:textId="77777777" w:rsidTr="00183C3C">
        <w:trPr>
          <w:cantSplit/>
          <w:trHeight w:val="255"/>
        </w:trPr>
        <w:tc>
          <w:tcPr>
            <w:tcW w:w="1007" w:type="dxa"/>
            <w:vMerge/>
            <w:vAlign w:val="center"/>
            <w:hideMark/>
          </w:tcPr>
          <w:p w14:paraId="278C0E25"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430763AE"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0D87D392"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dried salted fish of the '</w:t>
            </w:r>
            <w:proofErr w:type="spellStart"/>
            <w:r w:rsidRPr="001F5FFC">
              <w:rPr>
                <w:rFonts w:ascii="Tahoma" w:hAnsi="Tahoma" w:cs="Tahoma"/>
                <w:color w:val="000000"/>
                <w:sz w:val="18"/>
                <w:szCs w:val="18"/>
                <w:lang w:eastAsia="en-GB"/>
              </w:rPr>
              <w:t>Gadidae</w:t>
            </w:r>
            <w:proofErr w:type="spellEnd"/>
            <w:r w:rsidRPr="001F5FFC">
              <w:rPr>
                <w:rFonts w:ascii="Tahoma" w:hAnsi="Tahoma" w:cs="Tahoma"/>
                <w:color w:val="000000"/>
                <w:sz w:val="18"/>
                <w:szCs w:val="18"/>
                <w:lang w:eastAsia="en-GB"/>
              </w:rPr>
              <w:t>' species</w:t>
            </w:r>
          </w:p>
        </w:tc>
      </w:tr>
      <w:tr w:rsidR="00486BD7" w:rsidRPr="00F356E9" w14:paraId="459821A0" w14:textId="77777777" w:rsidTr="00183C3C">
        <w:trPr>
          <w:cantSplit/>
          <w:trHeight w:val="765"/>
        </w:trPr>
        <w:tc>
          <w:tcPr>
            <w:tcW w:w="1007" w:type="dxa"/>
            <w:vMerge/>
            <w:vAlign w:val="center"/>
            <w:hideMark/>
          </w:tcPr>
          <w:p w14:paraId="6B143422"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0120EB40"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66EDA321"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cooked crustaceans of the </w:t>
            </w:r>
            <w:proofErr w:type="spellStart"/>
            <w:r w:rsidRPr="001F5FFC">
              <w:rPr>
                <w:rFonts w:ascii="Tahoma" w:hAnsi="Tahoma" w:cs="Tahoma"/>
                <w:color w:val="000000"/>
                <w:sz w:val="18"/>
                <w:szCs w:val="18"/>
                <w:lang w:eastAsia="en-GB"/>
              </w:rPr>
              <w:t>Penaeidae</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Solenoceridae</w:t>
            </w:r>
            <w:proofErr w:type="spellEnd"/>
            <w:r w:rsidRPr="001F5FFC">
              <w:rPr>
                <w:rFonts w:ascii="Tahoma" w:hAnsi="Tahoma" w:cs="Tahoma"/>
                <w:color w:val="000000"/>
                <w:sz w:val="18"/>
                <w:szCs w:val="18"/>
                <w:lang w:eastAsia="en-GB"/>
              </w:rPr>
              <w:t xml:space="preserve"> and </w:t>
            </w:r>
            <w:proofErr w:type="spellStart"/>
            <w:r w:rsidRPr="001F5FFC">
              <w:rPr>
                <w:rFonts w:ascii="Tahoma" w:hAnsi="Tahoma" w:cs="Tahoma"/>
                <w:color w:val="000000"/>
                <w:sz w:val="18"/>
                <w:szCs w:val="18"/>
                <w:lang w:eastAsia="en-GB"/>
              </w:rPr>
              <w:t>Aristaeidae</w:t>
            </w:r>
            <w:proofErr w:type="spellEnd"/>
            <w:r w:rsidRPr="001F5FFC">
              <w:rPr>
                <w:rFonts w:ascii="Tahoma" w:hAnsi="Tahoma" w:cs="Tahoma"/>
                <w:color w:val="000000"/>
                <w:sz w:val="18"/>
                <w:szCs w:val="18"/>
                <w:lang w:eastAsia="en-GB"/>
              </w:rPr>
              <w:t xml:space="preserve"> family over 120 units</w:t>
            </w:r>
          </w:p>
        </w:tc>
      </w:tr>
      <w:tr w:rsidR="00486BD7" w:rsidRPr="00F356E9" w14:paraId="5BEA7D54" w14:textId="77777777" w:rsidTr="00183C3C">
        <w:trPr>
          <w:cantSplit/>
          <w:trHeight w:val="255"/>
        </w:trPr>
        <w:tc>
          <w:tcPr>
            <w:tcW w:w="1007" w:type="dxa"/>
            <w:shd w:val="clear" w:color="auto" w:fill="auto"/>
            <w:noWrap/>
            <w:vAlign w:val="center"/>
            <w:hideMark/>
          </w:tcPr>
          <w:p w14:paraId="784EC6FF"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11.1</w:t>
            </w:r>
          </w:p>
        </w:tc>
        <w:tc>
          <w:tcPr>
            <w:tcW w:w="2610" w:type="dxa"/>
            <w:shd w:val="clear" w:color="auto" w:fill="auto"/>
            <w:vAlign w:val="center"/>
            <w:hideMark/>
          </w:tcPr>
          <w:p w14:paraId="0135169B"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Sugars and syrups as defined by Directive 2001/111/EC</w:t>
            </w:r>
          </w:p>
        </w:tc>
        <w:tc>
          <w:tcPr>
            <w:tcW w:w="5563" w:type="dxa"/>
            <w:shd w:val="clear" w:color="auto" w:fill="auto"/>
            <w:vAlign w:val="center"/>
            <w:hideMark/>
          </w:tcPr>
          <w:p w14:paraId="6CB0F66C"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sugars, except glucose syrup</w:t>
            </w:r>
          </w:p>
        </w:tc>
      </w:tr>
      <w:tr w:rsidR="00486BD7" w:rsidRPr="00F356E9" w14:paraId="5A8D3607" w14:textId="77777777" w:rsidTr="00183C3C">
        <w:trPr>
          <w:cantSplit/>
          <w:trHeight w:val="255"/>
        </w:trPr>
        <w:tc>
          <w:tcPr>
            <w:tcW w:w="1007" w:type="dxa"/>
            <w:vMerge w:val="restart"/>
            <w:shd w:val="clear" w:color="auto" w:fill="auto"/>
            <w:noWrap/>
            <w:vAlign w:val="center"/>
            <w:hideMark/>
          </w:tcPr>
          <w:p w14:paraId="4DD6DAB4"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11.2</w:t>
            </w:r>
          </w:p>
        </w:tc>
        <w:tc>
          <w:tcPr>
            <w:tcW w:w="2610" w:type="dxa"/>
            <w:vMerge w:val="restart"/>
            <w:shd w:val="clear" w:color="auto" w:fill="auto"/>
            <w:vAlign w:val="center"/>
            <w:hideMark/>
          </w:tcPr>
          <w:p w14:paraId="46910767"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Other sugars and syrups</w:t>
            </w:r>
          </w:p>
        </w:tc>
        <w:tc>
          <w:tcPr>
            <w:tcW w:w="5563" w:type="dxa"/>
            <w:shd w:val="clear" w:color="auto" w:fill="auto"/>
            <w:vAlign w:val="center"/>
            <w:hideMark/>
          </w:tcPr>
          <w:p w14:paraId="44D5D65B" w14:textId="77777777" w:rsidR="00486BD7" w:rsidRPr="001F5FFC" w:rsidRDefault="00486BD7" w:rsidP="00183C3C">
            <w:pPr>
              <w:keepLines/>
              <w:spacing w:after="0" w:line="240" w:lineRule="auto"/>
              <w:rPr>
                <w:rFonts w:ascii="Tahoma" w:hAnsi="Tahoma" w:cs="Tahoma"/>
                <w:color w:val="000000"/>
                <w:sz w:val="18"/>
                <w:szCs w:val="18"/>
                <w:lang w:eastAsia="en-GB"/>
              </w:rPr>
            </w:pPr>
          </w:p>
        </w:tc>
      </w:tr>
      <w:tr w:rsidR="00486BD7" w:rsidRPr="00F356E9" w14:paraId="113D3F7D" w14:textId="77777777" w:rsidTr="00183C3C">
        <w:trPr>
          <w:cantSplit/>
          <w:trHeight w:val="255"/>
        </w:trPr>
        <w:tc>
          <w:tcPr>
            <w:tcW w:w="1007" w:type="dxa"/>
            <w:vMerge/>
            <w:vAlign w:val="center"/>
            <w:hideMark/>
          </w:tcPr>
          <w:p w14:paraId="765E83A1"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22ECB692"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6E24B4E9"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treacle and molasses</w:t>
            </w:r>
          </w:p>
        </w:tc>
      </w:tr>
      <w:tr w:rsidR="00486BD7" w:rsidRPr="00F356E9" w14:paraId="358CE65D" w14:textId="77777777" w:rsidTr="00183C3C">
        <w:trPr>
          <w:cantSplit/>
          <w:trHeight w:val="255"/>
        </w:trPr>
        <w:tc>
          <w:tcPr>
            <w:tcW w:w="1007" w:type="dxa"/>
            <w:shd w:val="clear" w:color="auto" w:fill="auto"/>
            <w:noWrap/>
            <w:vAlign w:val="center"/>
            <w:hideMark/>
          </w:tcPr>
          <w:p w14:paraId="75B9672A"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12.2.1</w:t>
            </w:r>
          </w:p>
        </w:tc>
        <w:tc>
          <w:tcPr>
            <w:tcW w:w="2610" w:type="dxa"/>
            <w:shd w:val="clear" w:color="auto" w:fill="auto"/>
            <w:vAlign w:val="center"/>
            <w:hideMark/>
          </w:tcPr>
          <w:p w14:paraId="64B79E68"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 xml:space="preserve"> Herbs and spices</w:t>
            </w:r>
          </w:p>
        </w:tc>
        <w:tc>
          <w:tcPr>
            <w:tcW w:w="5563" w:type="dxa"/>
            <w:shd w:val="clear" w:color="auto" w:fill="auto"/>
            <w:vAlign w:val="center"/>
            <w:hideMark/>
          </w:tcPr>
          <w:p w14:paraId="7344E833"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cinnamon (Cinnamomum </w:t>
            </w:r>
            <w:proofErr w:type="spellStart"/>
            <w:r w:rsidRPr="001F5FFC">
              <w:rPr>
                <w:rFonts w:ascii="Tahoma" w:hAnsi="Tahoma" w:cs="Tahoma"/>
                <w:color w:val="000000"/>
                <w:sz w:val="18"/>
                <w:szCs w:val="18"/>
                <w:lang w:eastAsia="en-GB"/>
              </w:rPr>
              <w:t>ceylanicum</w:t>
            </w:r>
            <w:proofErr w:type="spellEnd"/>
            <w:r w:rsidRPr="001F5FFC">
              <w:rPr>
                <w:rFonts w:ascii="Tahoma" w:hAnsi="Tahoma" w:cs="Tahoma"/>
                <w:color w:val="000000"/>
                <w:sz w:val="18"/>
                <w:szCs w:val="18"/>
                <w:lang w:eastAsia="en-GB"/>
              </w:rPr>
              <w:t>)</w:t>
            </w:r>
          </w:p>
        </w:tc>
      </w:tr>
      <w:tr w:rsidR="00486BD7" w:rsidRPr="00F356E9" w14:paraId="5BB7AE26" w14:textId="77777777" w:rsidTr="00183C3C">
        <w:trPr>
          <w:cantSplit/>
          <w:trHeight w:val="510"/>
        </w:trPr>
        <w:tc>
          <w:tcPr>
            <w:tcW w:w="1007" w:type="dxa"/>
            <w:shd w:val="clear" w:color="auto" w:fill="auto"/>
            <w:noWrap/>
            <w:vAlign w:val="center"/>
            <w:hideMark/>
          </w:tcPr>
          <w:p w14:paraId="796E3EBF"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12.2.2</w:t>
            </w:r>
          </w:p>
        </w:tc>
        <w:tc>
          <w:tcPr>
            <w:tcW w:w="2610" w:type="dxa"/>
            <w:shd w:val="clear" w:color="auto" w:fill="auto"/>
            <w:vAlign w:val="center"/>
            <w:hideMark/>
          </w:tcPr>
          <w:p w14:paraId="156A11BC"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Seasonings and condiments</w:t>
            </w:r>
          </w:p>
        </w:tc>
        <w:tc>
          <w:tcPr>
            <w:tcW w:w="5563" w:type="dxa"/>
            <w:shd w:val="clear" w:color="auto" w:fill="auto"/>
            <w:vAlign w:val="center"/>
            <w:hideMark/>
          </w:tcPr>
          <w:p w14:paraId="213725F3"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citrus juice-based seasonings</w:t>
            </w:r>
          </w:p>
        </w:tc>
      </w:tr>
      <w:tr w:rsidR="00486BD7" w:rsidRPr="00F356E9" w14:paraId="058000E1" w14:textId="77777777" w:rsidTr="00183C3C">
        <w:trPr>
          <w:cantSplit/>
          <w:trHeight w:val="775"/>
        </w:trPr>
        <w:tc>
          <w:tcPr>
            <w:tcW w:w="1007" w:type="dxa"/>
            <w:shd w:val="clear" w:color="auto" w:fill="auto"/>
            <w:noWrap/>
            <w:vAlign w:val="center"/>
            <w:hideMark/>
          </w:tcPr>
          <w:p w14:paraId="30A0BD99"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12.9</w:t>
            </w:r>
          </w:p>
        </w:tc>
        <w:tc>
          <w:tcPr>
            <w:tcW w:w="2610" w:type="dxa"/>
            <w:shd w:val="clear" w:color="auto" w:fill="auto"/>
            <w:vAlign w:val="center"/>
            <w:hideMark/>
          </w:tcPr>
          <w:p w14:paraId="21966F99"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Protein products, excluding products covered in category 1.8</w:t>
            </w:r>
          </w:p>
        </w:tc>
        <w:tc>
          <w:tcPr>
            <w:tcW w:w="5563" w:type="dxa"/>
            <w:shd w:val="clear" w:color="auto" w:fill="auto"/>
            <w:vAlign w:val="center"/>
            <w:hideMark/>
          </w:tcPr>
          <w:p w14:paraId="23441255" w14:textId="77777777" w:rsidR="00486BD7" w:rsidRPr="00F5355F" w:rsidRDefault="00486BD7" w:rsidP="00183C3C">
            <w:pPr>
              <w:keepLines/>
              <w:spacing w:after="0" w:line="240" w:lineRule="auto"/>
              <w:rPr>
                <w:rFonts w:ascii="Tahoma" w:hAnsi="Tahoma" w:cs="Tahoma"/>
                <w:color w:val="000000"/>
                <w:sz w:val="18"/>
                <w:szCs w:val="18"/>
                <w:highlight w:val="yellow"/>
                <w:lang w:eastAsia="en-GB"/>
              </w:rPr>
            </w:pPr>
            <w:r w:rsidRPr="001F5FFC">
              <w:rPr>
                <w:rFonts w:ascii="Tahoma" w:hAnsi="Tahoma" w:cs="Tahoma"/>
                <w:color w:val="000000"/>
                <w:sz w:val="18"/>
                <w:szCs w:val="18"/>
                <w:lang w:eastAsia="en-GB"/>
              </w:rPr>
              <w:t xml:space="preserve">Only analogues of meat, fish, </w:t>
            </w:r>
            <w:proofErr w:type="gramStart"/>
            <w:r w:rsidRPr="001F5FFC">
              <w:rPr>
                <w:rFonts w:ascii="Tahoma" w:hAnsi="Tahoma" w:cs="Tahoma"/>
                <w:color w:val="000000"/>
                <w:sz w:val="18"/>
                <w:szCs w:val="18"/>
                <w:lang w:eastAsia="en-GB"/>
              </w:rPr>
              <w:t>crustaceans</w:t>
            </w:r>
            <w:proofErr w:type="gramEnd"/>
            <w:r w:rsidRPr="001F5FFC">
              <w:rPr>
                <w:rFonts w:ascii="Tahoma" w:hAnsi="Tahoma" w:cs="Tahoma"/>
                <w:color w:val="000000"/>
                <w:sz w:val="18"/>
                <w:szCs w:val="18"/>
                <w:lang w:eastAsia="en-GB"/>
              </w:rPr>
              <w:t xml:space="preserve"> and cephalopods</w:t>
            </w:r>
          </w:p>
        </w:tc>
      </w:tr>
      <w:tr w:rsidR="00486BD7" w:rsidRPr="00F356E9" w14:paraId="5D138118" w14:textId="77777777" w:rsidTr="00183C3C">
        <w:trPr>
          <w:cantSplit/>
          <w:trHeight w:val="765"/>
        </w:trPr>
        <w:tc>
          <w:tcPr>
            <w:tcW w:w="1007" w:type="dxa"/>
            <w:vMerge w:val="restart"/>
            <w:shd w:val="clear" w:color="auto" w:fill="auto"/>
            <w:noWrap/>
            <w:vAlign w:val="center"/>
            <w:hideMark/>
          </w:tcPr>
          <w:p w14:paraId="1AAE5B7B"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14.1.2</w:t>
            </w:r>
          </w:p>
        </w:tc>
        <w:tc>
          <w:tcPr>
            <w:tcW w:w="2610" w:type="dxa"/>
            <w:vMerge w:val="restart"/>
            <w:shd w:val="clear" w:color="auto" w:fill="auto"/>
            <w:vAlign w:val="center"/>
            <w:hideMark/>
          </w:tcPr>
          <w:p w14:paraId="2DF849D0"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Fruit juices as defined by Directive 2001/112/EC and vegetable juices</w:t>
            </w:r>
          </w:p>
        </w:tc>
        <w:tc>
          <w:tcPr>
            <w:tcW w:w="5563" w:type="dxa"/>
            <w:shd w:val="clear" w:color="auto" w:fill="auto"/>
            <w:vAlign w:val="center"/>
            <w:hideMark/>
          </w:tcPr>
          <w:p w14:paraId="29347905"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orange, grapefruit, </w:t>
            </w:r>
            <w:proofErr w:type="gramStart"/>
            <w:r w:rsidRPr="001F5FFC">
              <w:rPr>
                <w:rFonts w:ascii="Tahoma" w:hAnsi="Tahoma" w:cs="Tahoma"/>
                <w:color w:val="000000"/>
                <w:sz w:val="18"/>
                <w:szCs w:val="18"/>
                <w:lang w:eastAsia="en-GB"/>
              </w:rPr>
              <w:t>apple</w:t>
            </w:r>
            <w:proofErr w:type="gramEnd"/>
            <w:r w:rsidRPr="001F5FFC">
              <w:rPr>
                <w:rFonts w:ascii="Tahoma" w:hAnsi="Tahoma" w:cs="Tahoma"/>
                <w:color w:val="000000"/>
                <w:sz w:val="18"/>
                <w:szCs w:val="18"/>
                <w:lang w:eastAsia="en-GB"/>
              </w:rPr>
              <w:t xml:space="preserve"> and pineapple juice for bulk dispensing in catering establishments</w:t>
            </w:r>
          </w:p>
        </w:tc>
      </w:tr>
      <w:tr w:rsidR="00486BD7" w:rsidRPr="00F356E9" w14:paraId="34F91811" w14:textId="77777777" w:rsidTr="00183C3C">
        <w:trPr>
          <w:cantSplit/>
          <w:trHeight w:val="510"/>
        </w:trPr>
        <w:tc>
          <w:tcPr>
            <w:tcW w:w="1007" w:type="dxa"/>
            <w:vMerge/>
            <w:vAlign w:val="center"/>
            <w:hideMark/>
          </w:tcPr>
          <w:p w14:paraId="504C4C1C"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1A10B893"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0E85902F"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grape juice, unfermented, for sacramental use</w:t>
            </w:r>
          </w:p>
        </w:tc>
      </w:tr>
      <w:tr w:rsidR="00486BD7" w:rsidRPr="00F356E9" w14:paraId="2E6EC2AD" w14:textId="77777777" w:rsidTr="00183C3C">
        <w:trPr>
          <w:cantSplit/>
          <w:trHeight w:val="510"/>
        </w:trPr>
        <w:tc>
          <w:tcPr>
            <w:tcW w:w="1007" w:type="dxa"/>
            <w:vMerge/>
            <w:vAlign w:val="center"/>
            <w:hideMark/>
          </w:tcPr>
          <w:p w14:paraId="531D1878"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1E409AB3"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2F7B761B"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concentrated grape juice for home wine making</w:t>
            </w:r>
          </w:p>
        </w:tc>
      </w:tr>
      <w:tr w:rsidR="00486BD7" w:rsidRPr="00F356E9" w14:paraId="1B0EE36D" w14:textId="77777777" w:rsidTr="00183C3C">
        <w:trPr>
          <w:cantSplit/>
          <w:trHeight w:val="510"/>
        </w:trPr>
        <w:tc>
          <w:tcPr>
            <w:tcW w:w="1007" w:type="dxa"/>
            <w:vMerge w:val="restart"/>
            <w:shd w:val="clear" w:color="auto" w:fill="auto"/>
            <w:noWrap/>
            <w:vAlign w:val="center"/>
            <w:hideMark/>
          </w:tcPr>
          <w:p w14:paraId="6A2F2AA8"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14.1.4</w:t>
            </w:r>
          </w:p>
        </w:tc>
        <w:tc>
          <w:tcPr>
            <w:tcW w:w="2610" w:type="dxa"/>
            <w:vMerge w:val="restart"/>
            <w:shd w:val="clear" w:color="auto" w:fill="auto"/>
            <w:noWrap/>
            <w:vAlign w:val="center"/>
            <w:hideMark/>
          </w:tcPr>
          <w:p w14:paraId="2E8457A2"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Flavoured drinks</w:t>
            </w:r>
          </w:p>
        </w:tc>
        <w:tc>
          <w:tcPr>
            <w:tcW w:w="5563" w:type="dxa"/>
            <w:shd w:val="clear" w:color="auto" w:fill="auto"/>
            <w:vAlign w:val="center"/>
            <w:hideMark/>
          </w:tcPr>
          <w:p w14:paraId="2622AB35"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carry-over from concentrates in non-alcoholic flavoured drinks containing fruit juice</w:t>
            </w:r>
          </w:p>
        </w:tc>
      </w:tr>
      <w:tr w:rsidR="00486BD7" w:rsidRPr="00F356E9" w14:paraId="78C63473" w14:textId="77777777" w:rsidTr="00183C3C">
        <w:trPr>
          <w:cantSplit/>
          <w:trHeight w:val="510"/>
        </w:trPr>
        <w:tc>
          <w:tcPr>
            <w:tcW w:w="1007" w:type="dxa"/>
            <w:vMerge/>
            <w:vAlign w:val="center"/>
            <w:hideMark/>
          </w:tcPr>
          <w:p w14:paraId="253797E7" w14:textId="77777777" w:rsidR="00486BD7" w:rsidRPr="00933A27"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60CB4172" w14:textId="77777777" w:rsidR="00486BD7" w:rsidRPr="00933A27"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709AAC05"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non-alcoholic flavoured drinks containing at least 235 g/L glucose syrup</w:t>
            </w:r>
          </w:p>
        </w:tc>
      </w:tr>
      <w:tr w:rsidR="00486BD7" w:rsidRPr="00F356E9" w14:paraId="4EDB63CF" w14:textId="77777777" w:rsidTr="00183C3C">
        <w:trPr>
          <w:cantSplit/>
          <w:trHeight w:val="520"/>
        </w:trPr>
        <w:tc>
          <w:tcPr>
            <w:tcW w:w="1007" w:type="dxa"/>
            <w:shd w:val="clear" w:color="auto" w:fill="auto"/>
            <w:noWrap/>
            <w:vAlign w:val="center"/>
            <w:hideMark/>
          </w:tcPr>
          <w:p w14:paraId="66D70AB3" w14:textId="77777777" w:rsidR="00486BD7" w:rsidRPr="00933A27" w:rsidRDefault="00486BD7" w:rsidP="00183C3C">
            <w:pPr>
              <w:keepLines/>
              <w:spacing w:after="0" w:line="240" w:lineRule="auto"/>
              <w:jc w:val="center"/>
              <w:rPr>
                <w:rFonts w:ascii="Tahoma" w:hAnsi="Tahoma" w:cs="Tahoma"/>
                <w:color w:val="000000"/>
                <w:sz w:val="18"/>
                <w:szCs w:val="18"/>
                <w:lang w:eastAsia="en-GB"/>
              </w:rPr>
            </w:pPr>
            <w:r w:rsidRPr="00933A27">
              <w:rPr>
                <w:rFonts w:ascii="Tahoma" w:hAnsi="Tahoma" w:cs="Tahoma"/>
                <w:color w:val="000000"/>
                <w:sz w:val="18"/>
                <w:szCs w:val="18"/>
                <w:lang w:eastAsia="en-GB"/>
              </w:rPr>
              <w:t>14.2.4</w:t>
            </w:r>
          </w:p>
        </w:tc>
        <w:tc>
          <w:tcPr>
            <w:tcW w:w="2610" w:type="dxa"/>
            <w:shd w:val="clear" w:color="auto" w:fill="auto"/>
            <w:vAlign w:val="center"/>
            <w:hideMark/>
          </w:tcPr>
          <w:p w14:paraId="62C256A8" w14:textId="77777777" w:rsidR="00486BD7" w:rsidRPr="00933A27" w:rsidRDefault="00486BD7" w:rsidP="00183C3C">
            <w:pPr>
              <w:keepLines/>
              <w:spacing w:after="0" w:line="240" w:lineRule="auto"/>
              <w:jc w:val="both"/>
              <w:rPr>
                <w:rFonts w:ascii="Tahoma" w:hAnsi="Tahoma" w:cs="Tahoma"/>
                <w:color w:val="000000"/>
                <w:sz w:val="18"/>
                <w:szCs w:val="18"/>
                <w:lang w:eastAsia="en-GB"/>
              </w:rPr>
            </w:pPr>
            <w:r w:rsidRPr="00933A27">
              <w:rPr>
                <w:rFonts w:ascii="Tahoma" w:hAnsi="Tahoma" w:cs="Tahoma"/>
                <w:color w:val="000000"/>
                <w:sz w:val="18"/>
                <w:szCs w:val="18"/>
                <w:lang w:eastAsia="en-GB"/>
              </w:rPr>
              <w:t>Fruit wine and made wine</w:t>
            </w:r>
          </w:p>
        </w:tc>
        <w:tc>
          <w:tcPr>
            <w:tcW w:w="5563" w:type="dxa"/>
            <w:shd w:val="clear" w:color="auto" w:fill="auto"/>
            <w:vAlign w:val="center"/>
            <w:hideMark/>
          </w:tcPr>
          <w:p w14:paraId="54835EDF" w14:textId="77777777" w:rsidR="00486BD7" w:rsidRPr="00F5355F" w:rsidRDefault="00486BD7" w:rsidP="00183C3C">
            <w:pPr>
              <w:keepLines/>
              <w:spacing w:after="0" w:line="240" w:lineRule="auto"/>
              <w:rPr>
                <w:rFonts w:ascii="Tahoma" w:hAnsi="Tahoma" w:cs="Tahoma"/>
                <w:color w:val="000000"/>
                <w:sz w:val="18"/>
                <w:szCs w:val="18"/>
                <w:highlight w:val="yellow"/>
                <w:lang w:eastAsia="en-GB"/>
              </w:rPr>
            </w:pPr>
            <w:r w:rsidRPr="001F5FFC">
              <w:rPr>
                <w:rFonts w:ascii="Tahoma" w:hAnsi="Tahoma" w:cs="Tahoma"/>
                <w:color w:val="000000"/>
                <w:sz w:val="18"/>
                <w:szCs w:val="18"/>
                <w:lang w:eastAsia="en-GB"/>
              </w:rPr>
              <w:t>Only made wine</w:t>
            </w:r>
            <w:r w:rsidRPr="001F5FFC">
              <w:rPr>
                <w:rFonts w:ascii="Tahoma" w:hAnsi="Tahoma" w:cs="Tahoma"/>
                <w:color w:val="000000"/>
                <w:sz w:val="18"/>
                <w:szCs w:val="18"/>
                <w:vertAlign w:val="superscript"/>
                <w:lang w:eastAsia="en-GB"/>
              </w:rPr>
              <w:t xml:space="preserve"> </w:t>
            </w:r>
          </w:p>
        </w:tc>
      </w:tr>
      <w:tr w:rsidR="00486BD7" w:rsidRPr="00F356E9" w14:paraId="12A52BFE" w14:textId="77777777" w:rsidTr="00183C3C">
        <w:trPr>
          <w:cantSplit/>
          <w:trHeight w:val="255"/>
        </w:trPr>
        <w:tc>
          <w:tcPr>
            <w:tcW w:w="1007" w:type="dxa"/>
            <w:shd w:val="clear" w:color="auto" w:fill="auto"/>
            <w:noWrap/>
            <w:vAlign w:val="center"/>
            <w:hideMark/>
          </w:tcPr>
          <w:p w14:paraId="5190CB06"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14.2.5</w:t>
            </w:r>
          </w:p>
        </w:tc>
        <w:tc>
          <w:tcPr>
            <w:tcW w:w="2610" w:type="dxa"/>
            <w:shd w:val="clear" w:color="auto" w:fill="auto"/>
            <w:vAlign w:val="center"/>
            <w:hideMark/>
          </w:tcPr>
          <w:p w14:paraId="3AC98251"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Mead</w:t>
            </w:r>
          </w:p>
        </w:tc>
        <w:tc>
          <w:tcPr>
            <w:tcW w:w="5563" w:type="dxa"/>
            <w:shd w:val="clear" w:color="auto" w:fill="auto"/>
            <w:vAlign w:val="center"/>
            <w:hideMark/>
          </w:tcPr>
          <w:p w14:paraId="5F992ECC" w14:textId="77777777" w:rsidR="00486BD7" w:rsidRPr="001F5FFC" w:rsidRDefault="00486BD7" w:rsidP="00183C3C">
            <w:pPr>
              <w:keepLines/>
              <w:spacing w:after="0" w:line="240" w:lineRule="auto"/>
              <w:rPr>
                <w:rFonts w:ascii="Tahoma" w:hAnsi="Tahoma" w:cs="Tahoma"/>
                <w:color w:val="000000"/>
                <w:sz w:val="18"/>
                <w:szCs w:val="18"/>
                <w:lang w:eastAsia="en-GB"/>
              </w:rPr>
            </w:pPr>
          </w:p>
        </w:tc>
      </w:tr>
      <w:tr w:rsidR="00486BD7" w:rsidRPr="00F356E9" w14:paraId="41DE8688" w14:textId="77777777" w:rsidTr="00183C3C">
        <w:trPr>
          <w:cantSplit/>
          <w:trHeight w:val="765"/>
        </w:trPr>
        <w:tc>
          <w:tcPr>
            <w:tcW w:w="1007" w:type="dxa"/>
            <w:shd w:val="clear" w:color="auto" w:fill="auto"/>
            <w:noWrap/>
            <w:vAlign w:val="center"/>
            <w:hideMark/>
          </w:tcPr>
          <w:p w14:paraId="6595679E"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14.2.6</w:t>
            </w:r>
          </w:p>
        </w:tc>
        <w:tc>
          <w:tcPr>
            <w:tcW w:w="2610" w:type="dxa"/>
            <w:shd w:val="clear" w:color="auto" w:fill="auto"/>
            <w:vAlign w:val="center"/>
            <w:hideMark/>
          </w:tcPr>
          <w:p w14:paraId="2FB50904"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 xml:space="preserve">Spirit drinks as defined in Regulation (EC) No 110/2008 </w:t>
            </w:r>
          </w:p>
        </w:tc>
        <w:tc>
          <w:tcPr>
            <w:tcW w:w="5563" w:type="dxa"/>
            <w:shd w:val="clear" w:color="auto" w:fill="auto"/>
            <w:vAlign w:val="center"/>
            <w:hideMark/>
          </w:tcPr>
          <w:p w14:paraId="4F27B884"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distilled alcoholic beverages containing whole pear</w:t>
            </w:r>
          </w:p>
        </w:tc>
      </w:tr>
      <w:tr w:rsidR="00486BD7" w:rsidRPr="00F356E9" w14:paraId="77A56F28" w14:textId="77777777" w:rsidTr="00183C3C">
        <w:trPr>
          <w:cantSplit/>
          <w:trHeight w:val="510"/>
        </w:trPr>
        <w:tc>
          <w:tcPr>
            <w:tcW w:w="1007" w:type="dxa"/>
            <w:shd w:val="clear" w:color="auto" w:fill="auto"/>
            <w:noWrap/>
            <w:vAlign w:val="center"/>
            <w:hideMark/>
          </w:tcPr>
          <w:p w14:paraId="10DBDC70"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14.2.7.2</w:t>
            </w:r>
          </w:p>
        </w:tc>
        <w:tc>
          <w:tcPr>
            <w:tcW w:w="2610" w:type="dxa"/>
            <w:shd w:val="clear" w:color="auto" w:fill="auto"/>
            <w:vAlign w:val="center"/>
            <w:hideMark/>
          </w:tcPr>
          <w:p w14:paraId="5DA45DAC"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Aromatised wine-based drinks</w:t>
            </w:r>
          </w:p>
        </w:tc>
        <w:tc>
          <w:tcPr>
            <w:tcW w:w="5563" w:type="dxa"/>
            <w:shd w:val="clear" w:color="auto" w:fill="auto"/>
            <w:vAlign w:val="center"/>
            <w:hideMark/>
          </w:tcPr>
          <w:p w14:paraId="05AA770A" w14:textId="77777777" w:rsidR="00486BD7" w:rsidRPr="001F5FFC" w:rsidRDefault="00486BD7" w:rsidP="00183C3C">
            <w:pPr>
              <w:keepLines/>
              <w:spacing w:after="0" w:line="240" w:lineRule="auto"/>
              <w:rPr>
                <w:rFonts w:ascii="Tahoma" w:hAnsi="Tahoma" w:cs="Tahoma"/>
                <w:color w:val="000000"/>
                <w:sz w:val="18"/>
                <w:szCs w:val="18"/>
                <w:lang w:eastAsia="en-GB"/>
              </w:rPr>
            </w:pPr>
          </w:p>
        </w:tc>
      </w:tr>
      <w:tr w:rsidR="00486BD7" w:rsidRPr="00F356E9" w14:paraId="2BFC3EBA" w14:textId="77777777" w:rsidTr="00183C3C">
        <w:trPr>
          <w:cantSplit/>
          <w:trHeight w:val="510"/>
        </w:trPr>
        <w:tc>
          <w:tcPr>
            <w:tcW w:w="1007" w:type="dxa"/>
            <w:shd w:val="clear" w:color="auto" w:fill="auto"/>
            <w:noWrap/>
            <w:vAlign w:val="center"/>
            <w:hideMark/>
          </w:tcPr>
          <w:p w14:paraId="20A63809"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14.2.7.3</w:t>
            </w:r>
          </w:p>
        </w:tc>
        <w:tc>
          <w:tcPr>
            <w:tcW w:w="2610" w:type="dxa"/>
            <w:shd w:val="clear" w:color="auto" w:fill="auto"/>
            <w:vAlign w:val="center"/>
            <w:hideMark/>
          </w:tcPr>
          <w:p w14:paraId="23C07754"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Aromatised wine-product cocktails</w:t>
            </w:r>
          </w:p>
        </w:tc>
        <w:tc>
          <w:tcPr>
            <w:tcW w:w="5563" w:type="dxa"/>
            <w:shd w:val="clear" w:color="auto" w:fill="auto"/>
            <w:vAlign w:val="center"/>
            <w:hideMark/>
          </w:tcPr>
          <w:p w14:paraId="29AEA4FD" w14:textId="77777777" w:rsidR="00486BD7" w:rsidRPr="001F5FFC" w:rsidRDefault="00486BD7" w:rsidP="00183C3C">
            <w:pPr>
              <w:keepLines/>
              <w:spacing w:after="0" w:line="240" w:lineRule="auto"/>
              <w:rPr>
                <w:rFonts w:ascii="Tahoma" w:hAnsi="Tahoma" w:cs="Tahoma"/>
                <w:color w:val="000000"/>
                <w:sz w:val="18"/>
                <w:szCs w:val="18"/>
                <w:lang w:eastAsia="en-GB"/>
              </w:rPr>
            </w:pPr>
          </w:p>
        </w:tc>
      </w:tr>
      <w:tr w:rsidR="00486BD7" w:rsidRPr="00F356E9" w14:paraId="42CD3534" w14:textId="77777777" w:rsidTr="00183C3C">
        <w:trPr>
          <w:cantSplit/>
          <w:trHeight w:val="255"/>
        </w:trPr>
        <w:tc>
          <w:tcPr>
            <w:tcW w:w="1007" w:type="dxa"/>
            <w:vMerge w:val="restart"/>
            <w:shd w:val="clear" w:color="auto" w:fill="auto"/>
            <w:noWrap/>
            <w:vAlign w:val="center"/>
            <w:hideMark/>
          </w:tcPr>
          <w:p w14:paraId="06FF1D9F"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14.2.8</w:t>
            </w:r>
          </w:p>
        </w:tc>
        <w:tc>
          <w:tcPr>
            <w:tcW w:w="2610" w:type="dxa"/>
            <w:vMerge w:val="restart"/>
            <w:shd w:val="clear" w:color="auto" w:fill="auto"/>
            <w:vAlign w:val="center"/>
            <w:hideMark/>
          </w:tcPr>
          <w:p w14:paraId="04200B25"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Other alcoholic drinks including mixtures of alcoholic drinks with non-alcoholic drinks and spirits with less than 15% of alcohol</w:t>
            </w:r>
          </w:p>
        </w:tc>
        <w:tc>
          <w:tcPr>
            <w:tcW w:w="5563" w:type="dxa"/>
            <w:shd w:val="clear" w:color="auto" w:fill="auto"/>
            <w:vAlign w:val="center"/>
            <w:hideMark/>
          </w:tcPr>
          <w:p w14:paraId="5C584EA0"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in fermented grape must-based drink</w:t>
            </w:r>
          </w:p>
        </w:tc>
      </w:tr>
      <w:tr w:rsidR="00486BD7" w:rsidRPr="00F356E9" w14:paraId="7A5423B3" w14:textId="77777777" w:rsidTr="00183C3C">
        <w:trPr>
          <w:cantSplit/>
          <w:trHeight w:val="2295"/>
        </w:trPr>
        <w:tc>
          <w:tcPr>
            <w:tcW w:w="1007" w:type="dxa"/>
            <w:vMerge/>
            <w:vAlign w:val="center"/>
            <w:hideMark/>
          </w:tcPr>
          <w:p w14:paraId="557EE701" w14:textId="77777777" w:rsidR="00486BD7" w:rsidRPr="001F5FFC" w:rsidRDefault="00486BD7" w:rsidP="00183C3C">
            <w:pPr>
              <w:keepLines/>
              <w:spacing w:after="0" w:line="240" w:lineRule="auto"/>
              <w:rPr>
                <w:rFonts w:ascii="Tahoma" w:hAnsi="Tahoma" w:cs="Tahoma"/>
                <w:color w:val="000000"/>
                <w:sz w:val="18"/>
                <w:szCs w:val="18"/>
                <w:lang w:eastAsia="en-GB"/>
              </w:rPr>
            </w:pPr>
          </w:p>
        </w:tc>
        <w:tc>
          <w:tcPr>
            <w:tcW w:w="2610" w:type="dxa"/>
            <w:vMerge/>
            <w:vAlign w:val="center"/>
            <w:hideMark/>
          </w:tcPr>
          <w:p w14:paraId="0070E669" w14:textId="77777777" w:rsidR="00486BD7" w:rsidRPr="001F5FFC" w:rsidRDefault="00486BD7" w:rsidP="00183C3C">
            <w:pPr>
              <w:keepLines/>
              <w:spacing w:after="0" w:line="240" w:lineRule="auto"/>
              <w:jc w:val="both"/>
              <w:rPr>
                <w:rFonts w:ascii="Tahoma" w:hAnsi="Tahoma" w:cs="Tahoma"/>
                <w:color w:val="000000"/>
                <w:sz w:val="18"/>
                <w:szCs w:val="18"/>
                <w:lang w:eastAsia="en-GB"/>
              </w:rPr>
            </w:pPr>
          </w:p>
        </w:tc>
        <w:tc>
          <w:tcPr>
            <w:tcW w:w="5563" w:type="dxa"/>
            <w:shd w:val="clear" w:color="auto" w:fill="auto"/>
            <w:vAlign w:val="center"/>
            <w:hideMark/>
          </w:tcPr>
          <w:p w14:paraId="064403D8"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 xml:space="preserve">Only </w:t>
            </w:r>
            <w:proofErr w:type="spellStart"/>
            <w:r w:rsidRPr="001F5FFC">
              <w:rPr>
                <w:rFonts w:ascii="Tahoma" w:hAnsi="Tahoma" w:cs="Tahoma"/>
                <w:color w:val="000000"/>
                <w:sz w:val="18"/>
                <w:szCs w:val="18"/>
                <w:lang w:eastAsia="en-GB"/>
              </w:rPr>
              <w:t>nalewka</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na</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winie</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owocowym</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aromatyzowana</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nalewka</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na</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winie</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owocowym</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nalewka</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na</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winie</w:t>
            </w:r>
            <w:proofErr w:type="spellEnd"/>
            <w:r w:rsidRPr="001F5FFC">
              <w:rPr>
                <w:rFonts w:ascii="Tahoma" w:hAnsi="Tahoma" w:cs="Tahoma"/>
                <w:color w:val="000000"/>
                <w:sz w:val="18"/>
                <w:szCs w:val="18"/>
                <w:lang w:eastAsia="en-GB"/>
              </w:rPr>
              <w:t xml:space="preserve"> z </w:t>
            </w:r>
            <w:proofErr w:type="spellStart"/>
            <w:r w:rsidRPr="001F5FFC">
              <w:rPr>
                <w:rFonts w:ascii="Tahoma" w:hAnsi="Tahoma" w:cs="Tahoma"/>
                <w:color w:val="000000"/>
                <w:sz w:val="18"/>
                <w:szCs w:val="18"/>
                <w:lang w:eastAsia="en-GB"/>
              </w:rPr>
              <w:t>soku</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winogronowego</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aromatyzowana</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nalewka</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na</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winie</w:t>
            </w:r>
            <w:proofErr w:type="spellEnd"/>
            <w:r w:rsidRPr="001F5FFC">
              <w:rPr>
                <w:rFonts w:ascii="Tahoma" w:hAnsi="Tahoma" w:cs="Tahoma"/>
                <w:color w:val="000000"/>
                <w:sz w:val="18"/>
                <w:szCs w:val="18"/>
                <w:lang w:eastAsia="en-GB"/>
              </w:rPr>
              <w:t xml:space="preserve"> z </w:t>
            </w:r>
            <w:proofErr w:type="spellStart"/>
            <w:r w:rsidRPr="001F5FFC">
              <w:rPr>
                <w:rFonts w:ascii="Tahoma" w:hAnsi="Tahoma" w:cs="Tahoma"/>
                <w:color w:val="000000"/>
                <w:sz w:val="18"/>
                <w:szCs w:val="18"/>
                <w:lang w:eastAsia="en-GB"/>
              </w:rPr>
              <w:t>soku</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winogronowego</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napój</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winny</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owocowy</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lub</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miodowy</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aromatyzowany</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napój</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winny</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owocowy</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lub</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miodowy</w:t>
            </w:r>
            <w:proofErr w:type="spellEnd"/>
            <w:r w:rsidRPr="001F5FFC">
              <w:rPr>
                <w:rFonts w:ascii="Tahoma" w:hAnsi="Tahoma" w:cs="Tahoma"/>
                <w:color w:val="000000"/>
                <w:sz w:val="18"/>
                <w:szCs w:val="18"/>
                <w:lang w:eastAsia="en-GB"/>
              </w:rPr>
              <w:t xml:space="preserve">, wino </w:t>
            </w:r>
            <w:proofErr w:type="spellStart"/>
            <w:r w:rsidRPr="001F5FFC">
              <w:rPr>
                <w:rFonts w:ascii="Tahoma" w:hAnsi="Tahoma" w:cs="Tahoma"/>
                <w:color w:val="000000"/>
                <w:sz w:val="18"/>
                <w:szCs w:val="18"/>
                <w:lang w:eastAsia="en-GB"/>
              </w:rPr>
              <w:t>owocowe</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niskoalkoholowe</w:t>
            </w:r>
            <w:proofErr w:type="spellEnd"/>
            <w:r w:rsidRPr="001F5FFC">
              <w:rPr>
                <w:rFonts w:ascii="Tahoma" w:hAnsi="Tahoma" w:cs="Tahoma"/>
                <w:color w:val="000000"/>
                <w:sz w:val="18"/>
                <w:szCs w:val="18"/>
                <w:lang w:eastAsia="en-GB"/>
              </w:rPr>
              <w:t xml:space="preserve"> and </w:t>
            </w:r>
            <w:proofErr w:type="spellStart"/>
            <w:r w:rsidRPr="001F5FFC">
              <w:rPr>
                <w:rFonts w:ascii="Tahoma" w:hAnsi="Tahoma" w:cs="Tahoma"/>
                <w:color w:val="000000"/>
                <w:sz w:val="18"/>
                <w:szCs w:val="18"/>
                <w:lang w:eastAsia="en-GB"/>
              </w:rPr>
              <w:t>aromatyzowane</w:t>
            </w:r>
            <w:proofErr w:type="spellEnd"/>
            <w:r w:rsidRPr="001F5FFC">
              <w:rPr>
                <w:rFonts w:ascii="Tahoma" w:hAnsi="Tahoma" w:cs="Tahoma"/>
                <w:color w:val="000000"/>
                <w:sz w:val="18"/>
                <w:szCs w:val="18"/>
                <w:lang w:eastAsia="en-GB"/>
              </w:rPr>
              <w:t xml:space="preserve"> wino </w:t>
            </w:r>
            <w:proofErr w:type="spellStart"/>
            <w:r w:rsidRPr="001F5FFC">
              <w:rPr>
                <w:rFonts w:ascii="Tahoma" w:hAnsi="Tahoma" w:cs="Tahoma"/>
                <w:color w:val="000000"/>
                <w:sz w:val="18"/>
                <w:szCs w:val="18"/>
                <w:lang w:eastAsia="en-GB"/>
              </w:rPr>
              <w:t>owocowe</w:t>
            </w:r>
            <w:proofErr w:type="spellEnd"/>
            <w:r w:rsidRPr="001F5FFC">
              <w:rPr>
                <w:rFonts w:ascii="Tahoma" w:hAnsi="Tahoma" w:cs="Tahoma"/>
                <w:color w:val="000000"/>
                <w:sz w:val="18"/>
                <w:szCs w:val="18"/>
                <w:lang w:eastAsia="en-GB"/>
              </w:rPr>
              <w:t xml:space="preserve"> </w:t>
            </w:r>
            <w:proofErr w:type="spellStart"/>
            <w:r w:rsidRPr="001F5FFC">
              <w:rPr>
                <w:rFonts w:ascii="Tahoma" w:hAnsi="Tahoma" w:cs="Tahoma"/>
                <w:color w:val="000000"/>
                <w:sz w:val="18"/>
                <w:szCs w:val="18"/>
                <w:lang w:eastAsia="en-GB"/>
              </w:rPr>
              <w:t>niskoalkoholow</w:t>
            </w:r>
            <w:proofErr w:type="spellEnd"/>
          </w:p>
        </w:tc>
      </w:tr>
      <w:tr w:rsidR="00486BD7" w:rsidRPr="00F356E9" w14:paraId="474B89A4" w14:textId="77777777" w:rsidTr="00183C3C">
        <w:trPr>
          <w:cantSplit/>
          <w:trHeight w:val="765"/>
        </w:trPr>
        <w:tc>
          <w:tcPr>
            <w:tcW w:w="1007" w:type="dxa"/>
            <w:tcBorders>
              <w:bottom w:val="single" w:sz="4" w:space="0" w:color="auto"/>
            </w:tcBorders>
            <w:shd w:val="clear" w:color="auto" w:fill="auto"/>
            <w:noWrap/>
            <w:vAlign w:val="center"/>
            <w:hideMark/>
          </w:tcPr>
          <w:p w14:paraId="08EA7224"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15.1</w:t>
            </w:r>
          </w:p>
        </w:tc>
        <w:tc>
          <w:tcPr>
            <w:tcW w:w="2610" w:type="dxa"/>
            <w:tcBorders>
              <w:bottom w:val="single" w:sz="4" w:space="0" w:color="auto"/>
            </w:tcBorders>
            <w:shd w:val="clear" w:color="auto" w:fill="auto"/>
            <w:vAlign w:val="center"/>
            <w:hideMark/>
          </w:tcPr>
          <w:p w14:paraId="252976B8"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 xml:space="preserve">Potato-, cereal-, </w:t>
            </w:r>
            <w:proofErr w:type="spellStart"/>
            <w:r w:rsidRPr="001F5FFC">
              <w:rPr>
                <w:rFonts w:ascii="Tahoma" w:hAnsi="Tahoma" w:cs="Tahoma"/>
                <w:color w:val="000000"/>
                <w:sz w:val="18"/>
                <w:szCs w:val="18"/>
                <w:lang w:eastAsia="en-GB"/>
              </w:rPr>
              <w:t>flour</w:t>
            </w:r>
            <w:proofErr w:type="spellEnd"/>
            <w:r w:rsidRPr="001F5FFC">
              <w:rPr>
                <w:rFonts w:ascii="Tahoma" w:hAnsi="Tahoma" w:cs="Tahoma"/>
                <w:color w:val="000000"/>
                <w:sz w:val="18"/>
                <w:szCs w:val="18"/>
                <w:lang w:eastAsia="en-GB"/>
              </w:rPr>
              <w:t>- or starch-based snacks</w:t>
            </w:r>
          </w:p>
        </w:tc>
        <w:tc>
          <w:tcPr>
            <w:tcW w:w="5563" w:type="dxa"/>
            <w:tcBorders>
              <w:bottom w:val="single" w:sz="4" w:space="0" w:color="auto"/>
            </w:tcBorders>
            <w:shd w:val="clear" w:color="auto" w:fill="auto"/>
            <w:vAlign w:val="center"/>
            <w:hideMark/>
          </w:tcPr>
          <w:p w14:paraId="42BC27B1"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cereal-and potato-based snack</w:t>
            </w:r>
          </w:p>
        </w:tc>
      </w:tr>
      <w:tr w:rsidR="00486BD7" w:rsidRPr="00F356E9" w14:paraId="0BEB8FB6" w14:textId="77777777" w:rsidTr="00183C3C">
        <w:trPr>
          <w:cantSplit/>
          <w:trHeight w:val="255"/>
        </w:trPr>
        <w:tc>
          <w:tcPr>
            <w:tcW w:w="1007" w:type="dxa"/>
            <w:tcBorders>
              <w:bottom w:val="single" w:sz="12" w:space="0" w:color="auto"/>
            </w:tcBorders>
            <w:shd w:val="clear" w:color="auto" w:fill="auto"/>
            <w:noWrap/>
            <w:vAlign w:val="center"/>
            <w:hideMark/>
          </w:tcPr>
          <w:p w14:paraId="37EC3856" w14:textId="77777777" w:rsidR="00486BD7" w:rsidRPr="001F5FFC" w:rsidRDefault="00486BD7" w:rsidP="00183C3C">
            <w:pPr>
              <w:keepLines/>
              <w:spacing w:after="0" w:line="240" w:lineRule="auto"/>
              <w:jc w:val="center"/>
              <w:rPr>
                <w:rFonts w:ascii="Tahoma" w:hAnsi="Tahoma" w:cs="Tahoma"/>
                <w:color w:val="000000"/>
                <w:sz w:val="18"/>
                <w:szCs w:val="18"/>
                <w:lang w:eastAsia="en-GB"/>
              </w:rPr>
            </w:pPr>
            <w:r w:rsidRPr="001F5FFC">
              <w:rPr>
                <w:rFonts w:ascii="Tahoma" w:hAnsi="Tahoma" w:cs="Tahoma"/>
                <w:color w:val="000000"/>
                <w:sz w:val="18"/>
                <w:szCs w:val="18"/>
                <w:lang w:eastAsia="en-GB"/>
              </w:rPr>
              <w:t>15.2</w:t>
            </w:r>
          </w:p>
        </w:tc>
        <w:tc>
          <w:tcPr>
            <w:tcW w:w="2610" w:type="dxa"/>
            <w:tcBorders>
              <w:bottom w:val="single" w:sz="12" w:space="0" w:color="auto"/>
            </w:tcBorders>
            <w:shd w:val="clear" w:color="auto" w:fill="auto"/>
            <w:vAlign w:val="center"/>
            <w:hideMark/>
          </w:tcPr>
          <w:p w14:paraId="7C3A1A53" w14:textId="77777777" w:rsidR="00486BD7" w:rsidRPr="001F5FFC" w:rsidRDefault="00486BD7" w:rsidP="00183C3C">
            <w:pPr>
              <w:keepLines/>
              <w:spacing w:after="0" w:line="240" w:lineRule="auto"/>
              <w:jc w:val="both"/>
              <w:rPr>
                <w:rFonts w:ascii="Tahoma" w:hAnsi="Tahoma" w:cs="Tahoma"/>
                <w:color w:val="000000"/>
                <w:sz w:val="18"/>
                <w:szCs w:val="18"/>
                <w:lang w:eastAsia="en-GB"/>
              </w:rPr>
            </w:pPr>
            <w:r w:rsidRPr="001F5FFC">
              <w:rPr>
                <w:rFonts w:ascii="Tahoma" w:hAnsi="Tahoma" w:cs="Tahoma"/>
                <w:color w:val="000000"/>
                <w:sz w:val="18"/>
                <w:szCs w:val="18"/>
                <w:lang w:eastAsia="en-GB"/>
              </w:rPr>
              <w:t>Processed nuts</w:t>
            </w:r>
          </w:p>
        </w:tc>
        <w:tc>
          <w:tcPr>
            <w:tcW w:w="5563" w:type="dxa"/>
            <w:tcBorders>
              <w:bottom w:val="single" w:sz="12" w:space="0" w:color="auto"/>
            </w:tcBorders>
            <w:shd w:val="clear" w:color="auto" w:fill="auto"/>
            <w:vAlign w:val="center"/>
            <w:hideMark/>
          </w:tcPr>
          <w:p w14:paraId="5C10CF3F" w14:textId="77777777" w:rsidR="00486BD7" w:rsidRPr="001F5FFC" w:rsidRDefault="00486BD7" w:rsidP="00183C3C">
            <w:pPr>
              <w:keepLines/>
              <w:spacing w:after="0" w:line="240" w:lineRule="auto"/>
              <w:rPr>
                <w:rFonts w:ascii="Tahoma" w:hAnsi="Tahoma" w:cs="Tahoma"/>
                <w:color w:val="000000"/>
                <w:sz w:val="18"/>
                <w:szCs w:val="18"/>
                <w:lang w:eastAsia="en-GB"/>
              </w:rPr>
            </w:pPr>
            <w:r w:rsidRPr="001F5FFC">
              <w:rPr>
                <w:rFonts w:ascii="Tahoma" w:hAnsi="Tahoma" w:cs="Tahoma"/>
                <w:color w:val="000000"/>
                <w:sz w:val="18"/>
                <w:szCs w:val="18"/>
                <w:lang w:eastAsia="en-GB"/>
              </w:rPr>
              <w:t>Only marinated nut</w:t>
            </w:r>
          </w:p>
        </w:tc>
      </w:tr>
    </w:tbl>
    <w:p w14:paraId="66F4FB34" w14:textId="77777777" w:rsidR="00486BD7" w:rsidRDefault="00486BD7" w:rsidP="00486BD7">
      <w:pPr>
        <w:spacing w:after="120"/>
        <w:jc w:val="both"/>
        <w:rPr>
          <w:rFonts w:ascii="Times New Roman" w:eastAsia="Calibri" w:hAnsi="Times New Roman" w:cs="Times New Roman"/>
          <w:color w:val="000000"/>
          <w:sz w:val="24"/>
          <w:szCs w:val="24"/>
          <w:lang w:eastAsia="en-GB"/>
        </w:rPr>
      </w:pPr>
    </w:p>
    <w:p w14:paraId="2F6A3783" w14:textId="77777777" w:rsidR="003E25ED" w:rsidRPr="00F034B8" w:rsidRDefault="003E25ED" w:rsidP="00E72368">
      <w:pPr>
        <w:autoSpaceDE w:val="0"/>
        <w:autoSpaceDN w:val="0"/>
        <w:adjustRightInd w:val="0"/>
        <w:spacing w:after="120" w:line="240" w:lineRule="auto"/>
        <w:jc w:val="both"/>
        <w:rPr>
          <w:rFonts w:ascii="Times New Roman" w:hAnsi="Times New Roman" w:cs="Times New Roman"/>
          <w:sz w:val="24"/>
          <w:szCs w:val="24"/>
        </w:rPr>
      </w:pPr>
    </w:p>
    <w:sectPr w:rsidR="003E25ED" w:rsidRPr="00F034B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38DE" w14:textId="77777777" w:rsidR="002A230C" w:rsidRDefault="002A230C">
      <w:pPr>
        <w:spacing w:after="0" w:line="240" w:lineRule="auto"/>
      </w:pPr>
      <w:r>
        <w:separator/>
      </w:r>
    </w:p>
  </w:endnote>
  <w:endnote w:type="continuationSeparator" w:id="0">
    <w:p w14:paraId="4DD80671" w14:textId="77777777" w:rsidR="002A230C" w:rsidRDefault="002A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CF8" w14:textId="77777777" w:rsidR="007E6732" w:rsidRDefault="007E6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734968"/>
      <w:docPartObj>
        <w:docPartGallery w:val="Page Numbers (Bottom of Page)"/>
        <w:docPartUnique/>
      </w:docPartObj>
    </w:sdtPr>
    <w:sdtEndPr>
      <w:rPr>
        <w:noProof/>
      </w:rPr>
    </w:sdtEndPr>
    <w:sdtContent>
      <w:p w14:paraId="106D5C9F" w14:textId="70A5E9F5" w:rsidR="002A230C" w:rsidRDefault="002A230C">
        <w:pPr>
          <w:pStyle w:val="Footer"/>
        </w:pPr>
        <w:r>
          <w:fldChar w:fldCharType="begin"/>
        </w:r>
        <w:r>
          <w:instrText xml:space="preserve"> PAGE   \* MERGEFORMAT </w:instrText>
        </w:r>
        <w:r>
          <w:fldChar w:fldCharType="separate"/>
        </w:r>
        <w:r w:rsidR="00A15181">
          <w:rPr>
            <w:noProof/>
          </w:rPr>
          <w:t>1</w:t>
        </w:r>
        <w:r>
          <w:rPr>
            <w:noProof/>
          </w:rPr>
          <w:fldChar w:fldCharType="end"/>
        </w:r>
      </w:p>
    </w:sdtContent>
  </w:sdt>
  <w:p w14:paraId="4E86ED51" w14:textId="77777777" w:rsidR="002A230C" w:rsidRDefault="002A2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A898" w14:textId="77777777" w:rsidR="007E6732" w:rsidRDefault="007E6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A6C8" w14:textId="77777777" w:rsidR="002A230C" w:rsidRDefault="002A230C">
      <w:pPr>
        <w:spacing w:after="0" w:line="240" w:lineRule="auto"/>
      </w:pPr>
      <w:r>
        <w:separator/>
      </w:r>
    </w:p>
  </w:footnote>
  <w:footnote w:type="continuationSeparator" w:id="0">
    <w:p w14:paraId="313D76A6" w14:textId="77777777" w:rsidR="002A230C" w:rsidRDefault="002A230C">
      <w:pPr>
        <w:spacing w:after="0" w:line="240" w:lineRule="auto"/>
      </w:pPr>
      <w:r>
        <w:continuationSeparator/>
      </w:r>
    </w:p>
  </w:footnote>
  <w:footnote w:id="1">
    <w:p w14:paraId="13EFB1F7" w14:textId="77777777" w:rsidR="00486BD7" w:rsidRPr="00771B27" w:rsidRDefault="00486BD7" w:rsidP="00486BD7">
      <w:pPr>
        <w:pStyle w:val="FootnoteText"/>
        <w:spacing w:after="0"/>
        <w:rPr>
          <w:lang w:val="fr-BE"/>
        </w:rPr>
      </w:pPr>
      <w:r>
        <w:rPr>
          <w:rStyle w:val="FootnoteReference"/>
        </w:rPr>
        <w:footnoteRef/>
      </w:r>
      <w:r>
        <w:t xml:space="preserve"> </w:t>
      </w:r>
      <w:hyperlink r:id="rId1" w:history="1">
        <w:r w:rsidRPr="007D2F48">
          <w:rPr>
            <w:rStyle w:val="Hyperlink"/>
          </w:rPr>
          <w:t>http://www.efsa.europa.eu/en/efsajournal/pub/4438</w:t>
        </w:r>
      </w:hyperlink>
    </w:p>
  </w:footnote>
  <w:footnote w:id="2">
    <w:p w14:paraId="6D8B1E81" w14:textId="77777777" w:rsidR="00486BD7" w:rsidRPr="00771B27" w:rsidRDefault="00486BD7" w:rsidP="00486BD7">
      <w:pPr>
        <w:pStyle w:val="FootnoteText"/>
        <w:spacing w:after="0"/>
        <w:rPr>
          <w:lang w:val="fr-BE"/>
        </w:rPr>
      </w:pPr>
      <w:r>
        <w:rPr>
          <w:rStyle w:val="FootnoteReference"/>
        </w:rPr>
        <w:footnoteRef/>
      </w:r>
      <w:r w:rsidRPr="00771B27">
        <w:rPr>
          <w:lang w:val="fr-BE"/>
        </w:rPr>
        <w:t xml:space="preserve"> </w:t>
      </w:r>
      <w:hyperlink r:id="rId2" w:history="1">
        <w:r w:rsidRPr="009B163E">
          <w:rPr>
            <w:rStyle w:val="Hyperlink"/>
            <w:lang w:val="fr-BE"/>
          </w:rPr>
          <w:t>https://ec.europa.eu/food/system/files/2022-01/fs_food-improvement-agents_reeval_approach.pdf</w:t>
        </w:r>
      </w:hyperlink>
    </w:p>
  </w:footnote>
  <w:footnote w:id="3">
    <w:p w14:paraId="0D1E2989" w14:textId="77777777" w:rsidR="00486BD7" w:rsidRPr="003F4775" w:rsidRDefault="00486BD7" w:rsidP="00486BD7">
      <w:pPr>
        <w:pStyle w:val="FootnoteText"/>
        <w:spacing w:after="0"/>
        <w:jc w:val="left"/>
        <w:rPr>
          <w:lang w:val="fr-BE"/>
        </w:rPr>
      </w:pPr>
      <w:r>
        <w:rPr>
          <w:rStyle w:val="FootnoteReference"/>
        </w:rPr>
        <w:footnoteRef/>
      </w:r>
      <w:r w:rsidRPr="003F4775">
        <w:rPr>
          <w:lang w:val="fr-BE"/>
        </w:rPr>
        <w:t xml:space="preserve"> </w:t>
      </w:r>
      <w:hyperlink r:id="rId3" w:history="1">
        <w:r w:rsidRPr="007D2F48">
          <w:rPr>
            <w:rStyle w:val="Hyperlink"/>
            <w:lang w:val="fr-BE"/>
          </w:rPr>
          <w:t>https://food.ec.europa.eu/system/files/2019-01/fs_food-improvement-agents_reeval_call_20161010_e220-e228_data.pdf</w:t>
        </w:r>
      </w:hyperlink>
      <w:r>
        <w:rPr>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A577" w14:textId="77777777" w:rsidR="007E6732" w:rsidRDefault="007E6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66F8" w14:textId="47F249BC" w:rsidR="002A230C" w:rsidRPr="00DD5987" w:rsidRDefault="00F44AA5" w:rsidP="00686110">
    <w:pPr>
      <w:pStyle w:val="Header"/>
      <w:jc w:val="right"/>
    </w:pPr>
    <w:sdt>
      <w:sdtPr>
        <w:id w:val="-1879229598"/>
        <w:docPartObj>
          <w:docPartGallery w:val="Watermarks"/>
          <w:docPartUnique/>
        </w:docPartObj>
      </w:sdtPr>
      <w:sdtEndPr/>
      <w:sdtContent>
        <w:r>
          <w:rPr>
            <w:noProof/>
          </w:rPr>
          <w:pict w14:anchorId="256DB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A230C">
      <w:t>Follow-up to EFSA r</w:t>
    </w:r>
    <w:r w:rsidR="002A230C" w:rsidRPr="0085069D">
      <w:t xml:space="preserve">e-evaluation of </w:t>
    </w:r>
    <w:r w:rsidR="00C46C11">
      <w:t>sul</w:t>
    </w:r>
    <w:r w:rsidR="007E6732">
      <w:t>f</w:t>
    </w:r>
    <w:r w:rsidR="00C46C11">
      <w:t>ur dioxide-sul</w:t>
    </w:r>
    <w:r w:rsidR="007E6732">
      <w:t>f</w:t>
    </w:r>
    <w:r w:rsidR="00C46C11">
      <w:t>ites</w:t>
    </w:r>
    <w:r w:rsidR="002A230C">
      <w:t xml:space="preserve"> (E </w:t>
    </w:r>
    <w:r w:rsidR="00C46C11">
      <w:t>220-228</w:t>
    </w:r>
    <w:r w:rsidR="002A230C" w:rsidRPr="0085069D">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137C" w14:textId="77777777" w:rsidR="007E6732" w:rsidRDefault="007E6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B30"/>
    <w:multiLevelType w:val="hybridMultilevel"/>
    <w:tmpl w:val="3488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2728"/>
    <w:multiLevelType w:val="hybridMultilevel"/>
    <w:tmpl w:val="C0F8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72B2E"/>
    <w:multiLevelType w:val="hybridMultilevel"/>
    <w:tmpl w:val="96D0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C460F"/>
    <w:multiLevelType w:val="hybridMultilevel"/>
    <w:tmpl w:val="C104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27986"/>
    <w:multiLevelType w:val="hybridMultilevel"/>
    <w:tmpl w:val="9C72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4A90A"/>
    <w:multiLevelType w:val="hybridMultilevel"/>
    <w:tmpl w:val="38A34C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D12FBC"/>
    <w:multiLevelType w:val="hybridMultilevel"/>
    <w:tmpl w:val="F84A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96F2C"/>
    <w:multiLevelType w:val="hybridMultilevel"/>
    <w:tmpl w:val="34B67C32"/>
    <w:lvl w:ilvl="0" w:tplc="03B8FF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BC30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4C54F6"/>
    <w:multiLevelType w:val="hybridMultilevel"/>
    <w:tmpl w:val="5C2E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8634E"/>
    <w:multiLevelType w:val="hybridMultilevel"/>
    <w:tmpl w:val="4D34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6161D"/>
    <w:multiLevelType w:val="hybridMultilevel"/>
    <w:tmpl w:val="33B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D5231"/>
    <w:multiLevelType w:val="hybridMultilevel"/>
    <w:tmpl w:val="CC7A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C4C8A"/>
    <w:multiLevelType w:val="hybridMultilevel"/>
    <w:tmpl w:val="3C36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174E2"/>
    <w:multiLevelType w:val="hybridMultilevel"/>
    <w:tmpl w:val="9AF8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E4E74"/>
    <w:multiLevelType w:val="hybridMultilevel"/>
    <w:tmpl w:val="BFD4A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4A2FC7"/>
    <w:multiLevelType w:val="hybridMultilevel"/>
    <w:tmpl w:val="3794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F1D15"/>
    <w:multiLevelType w:val="hybridMultilevel"/>
    <w:tmpl w:val="43603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936871"/>
    <w:multiLevelType w:val="hybridMultilevel"/>
    <w:tmpl w:val="65D88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F173D3"/>
    <w:multiLevelType w:val="hybridMultilevel"/>
    <w:tmpl w:val="8D94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C54CC"/>
    <w:multiLevelType w:val="hybridMultilevel"/>
    <w:tmpl w:val="C99C0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7845C08"/>
    <w:multiLevelType w:val="hybridMultilevel"/>
    <w:tmpl w:val="DEDC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7704D9"/>
    <w:multiLevelType w:val="hybridMultilevel"/>
    <w:tmpl w:val="939414D8"/>
    <w:lvl w:ilvl="0" w:tplc="E44A6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C0CAD"/>
    <w:multiLevelType w:val="hybridMultilevel"/>
    <w:tmpl w:val="172E7F90"/>
    <w:lvl w:ilvl="0" w:tplc="B0DC703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3819476">
    <w:abstractNumId w:val="10"/>
  </w:num>
  <w:num w:numId="2" w16cid:durableId="1504970471">
    <w:abstractNumId w:val="6"/>
  </w:num>
  <w:num w:numId="3" w16cid:durableId="611328245">
    <w:abstractNumId w:val="2"/>
  </w:num>
  <w:num w:numId="4" w16cid:durableId="706486847">
    <w:abstractNumId w:val="17"/>
  </w:num>
  <w:num w:numId="5" w16cid:durableId="522786988">
    <w:abstractNumId w:val="11"/>
  </w:num>
  <w:num w:numId="6" w16cid:durableId="661661618">
    <w:abstractNumId w:val="4"/>
  </w:num>
  <w:num w:numId="7" w16cid:durableId="1335765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722128">
    <w:abstractNumId w:val="7"/>
  </w:num>
  <w:num w:numId="9" w16cid:durableId="2131511146">
    <w:abstractNumId w:val="13"/>
  </w:num>
  <w:num w:numId="10" w16cid:durableId="115493498">
    <w:abstractNumId w:val="21"/>
  </w:num>
  <w:num w:numId="11" w16cid:durableId="136991665">
    <w:abstractNumId w:val="0"/>
  </w:num>
  <w:num w:numId="12" w16cid:durableId="1168209684">
    <w:abstractNumId w:val="15"/>
  </w:num>
  <w:num w:numId="13" w16cid:durableId="461772590">
    <w:abstractNumId w:val="1"/>
  </w:num>
  <w:num w:numId="14" w16cid:durableId="1063068805">
    <w:abstractNumId w:val="3"/>
  </w:num>
  <w:num w:numId="15" w16cid:durableId="1956324390">
    <w:abstractNumId w:val="16"/>
  </w:num>
  <w:num w:numId="16" w16cid:durableId="1822966895">
    <w:abstractNumId w:val="12"/>
  </w:num>
  <w:num w:numId="17" w16cid:durableId="529731633">
    <w:abstractNumId w:val="18"/>
  </w:num>
  <w:num w:numId="18" w16cid:durableId="460733073">
    <w:abstractNumId w:val="8"/>
  </w:num>
  <w:num w:numId="19" w16cid:durableId="936862979">
    <w:abstractNumId w:val="22"/>
  </w:num>
  <w:num w:numId="20" w16cid:durableId="7565985">
    <w:abstractNumId w:val="5"/>
  </w:num>
  <w:num w:numId="21" w16cid:durableId="1498032674">
    <w:abstractNumId w:val="14"/>
  </w:num>
  <w:num w:numId="22" w16cid:durableId="568882985">
    <w:abstractNumId w:val="19"/>
  </w:num>
  <w:num w:numId="23" w16cid:durableId="1772818736">
    <w:abstractNumId w:val="9"/>
  </w:num>
  <w:num w:numId="24" w16cid:durableId="21231807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IE" w:vendorID="64" w:dllVersion="0" w:nlCheck="1" w:checkStyle="0"/>
  <w:activeWritingStyle w:appName="MSWord" w:lang="pl-PL" w:vendorID="64" w:dllVersion="0" w:nlCheck="1" w:checkStyle="0"/>
  <w:activeWritingStyle w:appName="MSWord" w:lang="fr-BE" w:vendorID="64" w:dllVersion="0"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066438"/>
    <w:rsid w:val="000436D7"/>
    <w:rsid w:val="000630E9"/>
    <w:rsid w:val="00066438"/>
    <w:rsid w:val="000A0F24"/>
    <w:rsid w:val="000B2882"/>
    <w:rsid w:val="000B3A59"/>
    <w:rsid w:val="000F261E"/>
    <w:rsid w:val="00104454"/>
    <w:rsid w:val="00106E3C"/>
    <w:rsid w:val="00141CA9"/>
    <w:rsid w:val="0016311F"/>
    <w:rsid w:val="001701B8"/>
    <w:rsid w:val="00171774"/>
    <w:rsid w:val="001B171A"/>
    <w:rsid w:val="00202313"/>
    <w:rsid w:val="00207F96"/>
    <w:rsid w:val="00215F5E"/>
    <w:rsid w:val="00282D51"/>
    <w:rsid w:val="002A230C"/>
    <w:rsid w:val="002F3D1D"/>
    <w:rsid w:val="0030562F"/>
    <w:rsid w:val="00330967"/>
    <w:rsid w:val="00370CCA"/>
    <w:rsid w:val="00386EAE"/>
    <w:rsid w:val="00387726"/>
    <w:rsid w:val="003E25ED"/>
    <w:rsid w:val="00407F2A"/>
    <w:rsid w:val="00416DB8"/>
    <w:rsid w:val="004253C0"/>
    <w:rsid w:val="004305E6"/>
    <w:rsid w:val="004745A2"/>
    <w:rsid w:val="00477FFE"/>
    <w:rsid w:val="00483B3A"/>
    <w:rsid w:val="00486BD7"/>
    <w:rsid w:val="004B2C0D"/>
    <w:rsid w:val="004B5533"/>
    <w:rsid w:val="004B7AA5"/>
    <w:rsid w:val="00515CB9"/>
    <w:rsid w:val="00566EA5"/>
    <w:rsid w:val="005A4A8B"/>
    <w:rsid w:val="005C72F4"/>
    <w:rsid w:val="005E5198"/>
    <w:rsid w:val="0065079C"/>
    <w:rsid w:val="006555B1"/>
    <w:rsid w:val="00676357"/>
    <w:rsid w:val="00676FAB"/>
    <w:rsid w:val="00686110"/>
    <w:rsid w:val="00690417"/>
    <w:rsid w:val="006A76FD"/>
    <w:rsid w:val="006D0DB7"/>
    <w:rsid w:val="006D53E1"/>
    <w:rsid w:val="006E21DB"/>
    <w:rsid w:val="00722B4E"/>
    <w:rsid w:val="00731CAF"/>
    <w:rsid w:val="00732922"/>
    <w:rsid w:val="007817F5"/>
    <w:rsid w:val="00791DC8"/>
    <w:rsid w:val="00791FEC"/>
    <w:rsid w:val="0079513F"/>
    <w:rsid w:val="007C5651"/>
    <w:rsid w:val="007E6732"/>
    <w:rsid w:val="00825B2A"/>
    <w:rsid w:val="00844E5D"/>
    <w:rsid w:val="008827CD"/>
    <w:rsid w:val="008A07B4"/>
    <w:rsid w:val="008E2B30"/>
    <w:rsid w:val="008F2E81"/>
    <w:rsid w:val="009029CF"/>
    <w:rsid w:val="009108BA"/>
    <w:rsid w:val="00990856"/>
    <w:rsid w:val="00A14A7B"/>
    <w:rsid w:val="00A15181"/>
    <w:rsid w:val="00A3564F"/>
    <w:rsid w:val="00A51AB3"/>
    <w:rsid w:val="00A74DC7"/>
    <w:rsid w:val="00A97EAE"/>
    <w:rsid w:val="00AB2826"/>
    <w:rsid w:val="00B02B7F"/>
    <w:rsid w:val="00B035BD"/>
    <w:rsid w:val="00B06DAD"/>
    <w:rsid w:val="00B227F7"/>
    <w:rsid w:val="00B232CB"/>
    <w:rsid w:val="00B854AB"/>
    <w:rsid w:val="00B91847"/>
    <w:rsid w:val="00C40AA0"/>
    <w:rsid w:val="00C46C11"/>
    <w:rsid w:val="00C76904"/>
    <w:rsid w:val="00C87A01"/>
    <w:rsid w:val="00C96D67"/>
    <w:rsid w:val="00CA6BBA"/>
    <w:rsid w:val="00CB2D1C"/>
    <w:rsid w:val="00CD24D2"/>
    <w:rsid w:val="00D54E4F"/>
    <w:rsid w:val="00DE66D8"/>
    <w:rsid w:val="00E2147D"/>
    <w:rsid w:val="00E51E17"/>
    <w:rsid w:val="00E63E4D"/>
    <w:rsid w:val="00E72368"/>
    <w:rsid w:val="00E8574A"/>
    <w:rsid w:val="00E936B9"/>
    <w:rsid w:val="00EA2612"/>
    <w:rsid w:val="00EB1F01"/>
    <w:rsid w:val="00EF7056"/>
    <w:rsid w:val="00F034B8"/>
    <w:rsid w:val="00F3149B"/>
    <w:rsid w:val="00F41F2A"/>
    <w:rsid w:val="00F44AA5"/>
    <w:rsid w:val="00F51F7F"/>
    <w:rsid w:val="00F57156"/>
    <w:rsid w:val="00F8016A"/>
    <w:rsid w:val="00F80B54"/>
    <w:rsid w:val="00F9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DBF859"/>
  <w15:chartTrackingRefBased/>
  <w15:docId w15:val="{8A5FC521-9AF3-450A-A33F-5172A9B2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38"/>
  </w:style>
  <w:style w:type="paragraph" w:styleId="Heading2">
    <w:name w:val="heading 2"/>
    <w:basedOn w:val="Normal"/>
    <w:next w:val="Normal"/>
    <w:link w:val="Heading2Char"/>
    <w:uiPriority w:val="9"/>
    <w:unhideWhenUsed/>
    <w:qFormat/>
    <w:rsid w:val="00416DB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438"/>
  </w:style>
  <w:style w:type="paragraph" w:styleId="Footer">
    <w:name w:val="footer"/>
    <w:basedOn w:val="Normal"/>
    <w:link w:val="FooterChar"/>
    <w:uiPriority w:val="99"/>
    <w:unhideWhenUsed/>
    <w:rsid w:val="00066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438"/>
  </w:style>
  <w:style w:type="paragraph" w:styleId="ListParagraph">
    <w:name w:val="List Paragraph"/>
    <w:basedOn w:val="Normal"/>
    <w:uiPriority w:val="34"/>
    <w:qFormat/>
    <w:rsid w:val="00066438"/>
    <w:pPr>
      <w:ind w:left="720"/>
      <w:contextualSpacing/>
    </w:pPr>
  </w:style>
  <w:style w:type="character" w:styleId="CommentReference">
    <w:name w:val="annotation reference"/>
    <w:basedOn w:val="DefaultParagraphFont"/>
    <w:uiPriority w:val="99"/>
    <w:semiHidden/>
    <w:unhideWhenUsed/>
    <w:rsid w:val="005A4A8B"/>
    <w:rPr>
      <w:sz w:val="16"/>
      <w:szCs w:val="16"/>
    </w:rPr>
  </w:style>
  <w:style w:type="paragraph" w:styleId="CommentText">
    <w:name w:val="annotation text"/>
    <w:basedOn w:val="Normal"/>
    <w:link w:val="CommentTextChar"/>
    <w:uiPriority w:val="99"/>
    <w:unhideWhenUsed/>
    <w:rsid w:val="005A4A8B"/>
    <w:pPr>
      <w:spacing w:line="240" w:lineRule="auto"/>
    </w:pPr>
    <w:rPr>
      <w:sz w:val="20"/>
      <w:szCs w:val="20"/>
    </w:rPr>
  </w:style>
  <w:style w:type="character" w:customStyle="1" w:styleId="CommentTextChar">
    <w:name w:val="Comment Text Char"/>
    <w:basedOn w:val="DefaultParagraphFont"/>
    <w:link w:val="CommentText"/>
    <w:uiPriority w:val="99"/>
    <w:rsid w:val="005A4A8B"/>
    <w:rPr>
      <w:sz w:val="20"/>
      <w:szCs w:val="20"/>
    </w:rPr>
  </w:style>
  <w:style w:type="paragraph" w:styleId="CommentSubject">
    <w:name w:val="annotation subject"/>
    <w:basedOn w:val="CommentText"/>
    <w:next w:val="CommentText"/>
    <w:link w:val="CommentSubjectChar"/>
    <w:uiPriority w:val="99"/>
    <w:semiHidden/>
    <w:unhideWhenUsed/>
    <w:rsid w:val="005A4A8B"/>
    <w:rPr>
      <w:b/>
      <w:bCs/>
    </w:rPr>
  </w:style>
  <w:style w:type="character" w:customStyle="1" w:styleId="CommentSubjectChar">
    <w:name w:val="Comment Subject Char"/>
    <w:basedOn w:val="CommentTextChar"/>
    <w:link w:val="CommentSubject"/>
    <w:uiPriority w:val="99"/>
    <w:semiHidden/>
    <w:rsid w:val="005A4A8B"/>
    <w:rPr>
      <w:b/>
      <w:bCs/>
      <w:sz w:val="20"/>
      <w:szCs w:val="20"/>
    </w:rPr>
  </w:style>
  <w:style w:type="paragraph" w:styleId="BalloonText">
    <w:name w:val="Balloon Text"/>
    <w:basedOn w:val="Normal"/>
    <w:link w:val="BalloonTextChar"/>
    <w:uiPriority w:val="99"/>
    <w:semiHidden/>
    <w:unhideWhenUsed/>
    <w:rsid w:val="005A4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A8B"/>
    <w:rPr>
      <w:rFonts w:ascii="Segoe UI" w:hAnsi="Segoe UI" w:cs="Segoe UI"/>
      <w:sz w:val="18"/>
      <w:szCs w:val="18"/>
    </w:rPr>
  </w:style>
  <w:style w:type="character" w:styleId="Hyperlink">
    <w:name w:val="Hyperlink"/>
    <w:basedOn w:val="DefaultParagraphFont"/>
    <w:uiPriority w:val="99"/>
    <w:unhideWhenUsed/>
    <w:rsid w:val="005A4A8B"/>
    <w:rPr>
      <w:color w:val="0000FF" w:themeColor="hyperlink"/>
      <w:u w:val="single"/>
    </w:rPr>
  </w:style>
  <w:style w:type="paragraph" w:customStyle="1" w:styleId="Default">
    <w:name w:val="Default"/>
    <w:rsid w:val="005A4A8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B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6DB8"/>
    <w:rPr>
      <w:rFonts w:asciiTheme="majorHAnsi" w:eastAsiaTheme="majorEastAsia" w:hAnsiTheme="majorHAnsi" w:cstheme="majorBidi"/>
      <w:color w:val="365F91" w:themeColor="accent1" w:themeShade="BF"/>
      <w:sz w:val="26"/>
      <w:szCs w:val="26"/>
      <w:lang w:val="en-US"/>
    </w:rPr>
  </w:style>
  <w:style w:type="paragraph" w:styleId="FootnoteText">
    <w:name w:val="footnote text"/>
    <w:basedOn w:val="Normal"/>
    <w:link w:val="FootnoteTextChar"/>
    <w:uiPriority w:val="99"/>
    <w:semiHidden/>
    <w:rsid w:val="00106E3C"/>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06E3C"/>
    <w:rPr>
      <w:rFonts w:ascii="Times New Roman" w:eastAsia="Times New Roman" w:hAnsi="Times New Roman" w:cs="Times New Roman"/>
      <w:sz w:val="20"/>
      <w:szCs w:val="20"/>
    </w:rPr>
  </w:style>
  <w:style w:type="character" w:styleId="FootnoteReference">
    <w:name w:val="footnote reference"/>
    <w:uiPriority w:val="99"/>
    <w:semiHidden/>
    <w:rsid w:val="00106E3C"/>
    <w:rPr>
      <w:vertAlign w:val="superscript"/>
    </w:rPr>
  </w:style>
  <w:style w:type="paragraph" w:styleId="Revision">
    <w:name w:val="Revision"/>
    <w:hidden/>
    <w:uiPriority w:val="99"/>
    <w:semiHidden/>
    <w:rsid w:val="00CB2D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65735">
      <w:bodyDiv w:val="1"/>
      <w:marLeft w:val="0"/>
      <w:marRight w:val="0"/>
      <w:marTop w:val="0"/>
      <w:marBottom w:val="0"/>
      <w:divBdr>
        <w:top w:val="none" w:sz="0" w:space="0" w:color="auto"/>
        <w:left w:val="none" w:sz="0" w:space="0" w:color="auto"/>
        <w:bottom w:val="none" w:sz="0" w:space="0" w:color="auto"/>
        <w:right w:val="none" w:sz="0" w:space="0" w:color="auto"/>
      </w:divBdr>
    </w:div>
    <w:div w:id="767164563">
      <w:bodyDiv w:val="1"/>
      <w:marLeft w:val="0"/>
      <w:marRight w:val="0"/>
      <w:marTop w:val="0"/>
      <w:marBottom w:val="0"/>
      <w:divBdr>
        <w:top w:val="none" w:sz="0" w:space="0" w:color="auto"/>
        <w:left w:val="none" w:sz="0" w:space="0" w:color="auto"/>
        <w:bottom w:val="none" w:sz="0" w:space="0" w:color="auto"/>
        <w:right w:val="none" w:sz="0" w:space="0" w:color="auto"/>
      </w:divBdr>
    </w:div>
    <w:div w:id="1539975798">
      <w:bodyDiv w:val="1"/>
      <w:marLeft w:val="0"/>
      <w:marRight w:val="0"/>
      <w:marTop w:val="0"/>
      <w:marBottom w:val="0"/>
      <w:divBdr>
        <w:top w:val="none" w:sz="0" w:space="0" w:color="auto"/>
        <w:left w:val="none" w:sz="0" w:space="0" w:color="auto"/>
        <w:bottom w:val="none" w:sz="0" w:space="0" w:color="auto"/>
        <w:right w:val="none" w:sz="0" w:space="0" w:color="auto"/>
      </w:divBdr>
    </w:div>
    <w:div w:id="1763068940">
      <w:bodyDiv w:val="1"/>
      <w:marLeft w:val="0"/>
      <w:marRight w:val="0"/>
      <w:marTop w:val="0"/>
      <w:marBottom w:val="0"/>
      <w:divBdr>
        <w:top w:val="none" w:sz="0" w:space="0" w:color="auto"/>
        <w:left w:val="none" w:sz="0" w:space="0" w:color="auto"/>
        <w:bottom w:val="none" w:sz="0" w:space="0" w:color="auto"/>
        <w:right w:val="none" w:sz="0" w:space="0" w:color="auto"/>
      </w:divBdr>
    </w:div>
    <w:div w:id="19908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ood.ec.europa.eu/system/files/2019-01/fs_food-improvement-agents_reeval_call_20161010_e220-e228_data.pdf" TargetMode="External"/><Relationship Id="rId2" Type="http://schemas.openxmlformats.org/officeDocument/2006/relationships/hyperlink" Target="https://ec.europa.eu/food/system/files/2022-01/fs_food-improvement-agents_reeval_approach.pdf" TargetMode="External"/><Relationship Id="rId1" Type="http://schemas.openxmlformats.org/officeDocument/2006/relationships/hyperlink" Target="http://www.efsa.europa.eu/en/efsajournal/pub/4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BEE7-89B2-40B1-BAB2-097BA727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1807</Words>
  <Characters>9705</Characters>
  <Application>Microsoft Office Word</Application>
  <DocSecurity>0</DocSecurity>
  <Lines>388</Lines>
  <Paragraphs>225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CARDON Guillermo (SANTE)</dc:creator>
  <cp:keywords/>
  <dc:description/>
  <cp:lastModifiedBy>BAERT Katleen (SANTE)</cp:lastModifiedBy>
  <cp:revision>7</cp:revision>
  <cp:lastPrinted>2022-06-21T10:00:00Z</cp:lastPrinted>
  <dcterms:created xsi:type="dcterms:W3CDTF">2023-06-18T13:38:00Z</dcterms:created>
  <dcterms:modified xsi:type="dcterms:W3CDTF">2023-06-18T14:48:00Z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2023-06-18T13:37:22Z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ed762d69-08ac-472a-97bb-f16191bc3c08</vt:lpwstr>
  </property>
  <property fmtid="{D5CDD505-2E9C-101B-9397-08002B2CF9AE}" pid="8" name="MSIP_Label_6bd9ddd1-4d20-43f6-abfa-fc3c07406f94_ContentBits">
    <vt:lpwstr>0</vt:lpwstr>
  </property>
</Properties>
</file>